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4C7" w:rsidRPr="00D574C7" w:rsidRDefault="00D574C7" w:rsidP="00DC30C7">
      <w:pPr>
        <w:spacing w:after="0" w:line="276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bg-BG"/>
        </w:rPr>
      </w:pPr>
      <w:r w:rsidRPr="00D574C7">
        <w:rPr>
          <w:rFonts w:ascii="Times New Roman" w:eastAsia="MS Mincho" w:hAnsi="Times New Roman" w:cs="Times New Roman"/>
          <w:b/>
          <w:sz w:val="24"/>
          <w:szCs w:val="24"/>
          <w:lang w:eastAsia="bg-BG"/>
        </w:rPr>
        <w:t>ТЕХНИЧЕСКА СПЕЦИФИКАЦИЯ</w:t>
      </w:r>
    </w:p>
    <w:p w:rsidR="00D574C7" w:rsidRPr="00D574C7" w:rsidRDefault="00D574C7" w:rsidP="00DC30C7">
      <w:pPr>
        <w:spacing w:after="0" w:line="276" w:lineRule="auto"/>
        <w:ind w:firstLine="709"/>
        <w:jc w:val="center"/>
        <w:rPr>
          <w:rFonts w:ascii="Times New Roman" w:eastAsia="MS Mincho" w:hAnsi="Times New Roman" w:cs="Times New Roman"/>
          <w:b/>
          <w:sz w:val="24"/>
          <w:szCs w:val="24"/>
          <w:lang w:eastAsia="bg-BG"/>
        </w:rPr>
      </w:pPr>
    </w:p>
    <w:p w:rsidR="00ED741D" w:rsidRPr="00E63A8B" w:rsidRDefault="002A48F8" w:rsidP="00E63A8B">
      <w:pPr>
        <w:shd w:val="clear" w:color="auto" w:fill="FFFFFF"/>
        <w:spacing w:after="0"/>
        <w:jc w:val="both"/>
        <w:rPr>
          <w:rFonts w:ascii="Times New Roman" w:hAnsi="Times New Roman"/>
          <w:color w:val="53813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І. </w:t>
      </w:r>
      <w:r w:rsidR="00D574C7" w:rsidRPr="00503D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ПРЕДМЕТ НА ПОРЪЧКАТА </w:t>
      </w:r>
      <w:r w:rsidR="00D574C7" w:rsidRPr="00503D29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bg-BG"/>
        </w:rPr>
        <w:t xml:space="preserve">– </w:t>
      </w:r>
      <w:r w:rsidR="00ED741D" w:rsidRPr="00412C8C">
        <w:rPr>
          <w:rFonts w:ascii="Times New Roman" w:hAnsi="Times New Roman"/>
          <w:sz w:val="24"/>
          <w:szCs w:val="24"/>
        </w:rPr>
        <w:t xml:space="preserve">„Изпълнение на дейностите по  информация и публичност, във връзка с изпълнение на проект </w:t>
      </w:r>
      <w:r w:rsidR="00ED741D" w:rsidRPr="00412C8C">
        <w:rPr>
          <w:rFonts w:ascii="Times New Roman" w:eastAsia="Times New Roman" w:hAnsi="Times New Roman"/>
          <w:sz w:val="24"/>
          <w:szCs w:val="24"/>
          <w:lang w:eastAsia="bg-BG"/>
        </w:rPr>
        <w:t>„Проектиране и изграждане на компостираща инсталация и инсталация за предварително третиране на битови отпадъци на територията на РДБО Мадан, за общините Мадан, Златоград и Неделино“, финансиран от Оперативна програма „Околна среда 2014 -2</w:t>
      </w:r>
      <w:r w:rsidR="00ED741D">
        <w:rPr>
          <w:rFonts w:ascii="Times New Roman" w:eastAsia="Times New Roman" w:hAnsi="Times New Roman"/>
          <w:sz w:val="24"/>
          <w:szCs w:val="24"/>
          <w:lang w:eastAsia="bg-BG"/>
        </w:rPr>
        <w:t>020 г“ по две обособени позиции</w:t>
      </w:r>
      <w:r w:rsidR="00ED741D" w:rsidRPr="00BD7B8C">
        <w:rPr>
          <w:rFonts w:ascii="Times New Roman" w:eastAsia="Times New Roman" w:hAnsi="Times New Roman"/>
          <w:sz w:val="24"/>
          <w:szCs w:val="24"/>
          <w:lang w:eastAsia="bg-BG"/>
        </w:rPr>
        <w:t xml:space="preserve">: </w:t>
      </w:r>
      <w:r w:rsidR="00BD7B8C" w:rsidRPr="00E63A8B">
        <w:rPr>
          <w:rFonts w:ascii="Times New Roman" w:eastAsia="MS Mincho" w:hAnsi="Times New Roman" w:cs="Times New Roman"/>
          <w:sz w:val="24"/>
          <w:szCs w:val="24"/>
        </w:rPr>
        <w:t>Обособена позиция №1: „Избор на Изпълнител за организиране и провеждане на информационни събития и осъществяване на мерки за информация и публичност“</w:t>
      </w:r>
      <w:r w:rsidR="00BD7B8C" w:rsidRPr="00BD7B8C">
        <w:rPr>
          <w:rFonts w:ascii="Times New Roman" w:eastAsia="MS Mincho" w:hAnsi="Times New Roman" w:cs="Times New Roman"/>
          <w:sz w:val="24"/>
          <w:szCs w:val="24"/>
        </w:rPr>
        <w:t>Обособена позиция №2: „Избор на Изпълнител за израб</w:t>
      </w:r>
      <w:r w:rsidR="006B0494">
        <w:rPr>
          <w:rFonts w:ascii="Times New Roman" w:eastAsia="MS Mincho" w:hAnsi="Times New Roman" w:cs="Times New Roman"/>
          <w:sz w:val="24"/>
          <w:szCs w:val="24"/>
        </w:rPr>
        <w:t xml:space="preserve">отка на печатни информационни </w:t>
      </w:r>
      <w:r w:rsidR="00BD7B8C" w:rsidRPr="00BD7B8C">
        <w:rPr>
          <w:rFonts w:ascii="Times New Roman" w:eastAsia="MS Mincho" w:hAnsi="Times New Roman" w:cs="Times New Roman"/>
          <w:sz w:val="24"/>
          <w:szCs w:val="24"/>
        </w:rPr>
        <w:t>материали“</w:t>
      </w:r>
    </w:p>
    <w:p w:rsidR="00F42FF1" w:rsidRPr="00EB3518" w:rsidRDefault="00F42FF1" w:rsidP="00E63A8B">
      <w:pPr>
        <w:spacing w:after="12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219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Община Мадан, в партньорство с общините Златоград и Неделино е сключила </w:t>
      </w:r>
      <w:r w:rsidR="00A23160" w:rsidRPr="00E219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Административен договор за предоставяне на безвъзмездна финансова помощ (АДПБФП) с рег.  №BG16M1OP002-2.002-0015-C01 </w:t>
      </w:r>
      <w:r w:rsidRPr="00E2193E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изпълнение на проект „Проектиране и изграждане</w:t>
      </w:r>
      <w:r w:rsidRPr="00EB35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компостираща инсталация и инсталация за предварително третиране на битови отпадъци на територията на РДБО Мадан, за общините Мадан, Златоград и Неделино“, финансиран от Оперативна програма „Околна среда 2014 -2020 г“</w:t>
      </w:r>
      <w:r w:rsidR="00467F99" w:rsidRPr="00EB35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В проекта са предвидени за изпълнение </w:t>
      </w:r>
      <w:r w:rsidRPr="00EB35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следните основни дейности:</w:t>
      </w:r>
    </w:p>
    <w:p w:rsidR="00467F99" w:rsidRPr="00EB3518" w:rsidRDefault="00467F99" w:rsidP="00DC30C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351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Дейност №1:</w:t>
      </w:r>
      <w:r w:rsidRPr="00EB3518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Подготовка на проектното предложение</w:t>
      </w:r>
    </w:p>
    <w:p w:rsidR="00467F99" w:rsidRPr="00EB3518" w:rsidRDefault="00467F99" w:rsidP="00DC30C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351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Дейност №</w:t>
      </w:r>
      <w:r w:rsidR="00255AB6" w:rsidRPr="00EB351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  <w:r w:rsidRPr="00EB351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</w:t>
      </w:r>
      <w:r w:rsidRPr="00EB3518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Разработв</w:t>
      </w:r>
      <w:r w:rsidR="00E34979">
        <w:rPr>
          <w:rFonts w:ascii="Times New Roman" w:eastAsia="Times New Roman" w:hAnsi="Times New Roman" w:cs="Times New Roman"/>
          <w:sz w:val="24"/>
          <w:szCs w:val="24"/>
          <w:lang w:eastAsia="bg-BG"/>
        </w:rPr>
        <w:t>ане на документации за възлаган</w:t>
      </w:r>
      <w:bookmarkStart w:id="0" w:name="_GoBack"/>
      <w:bookmarkEnd w:id="0"/>
      <w:r w:rsidRPr="00EB3518">
        <w:rPr>
          <w:rFonts w:ascii="Times New Roman" w:eastAsia="Times New Roman" w:hAnsi="Times New Roman" w:cs="Times New Roman"/>
          <w:sz w:val="24"/>
          <w:szCs w:val="24"/>
          <w:lang w:eastAsia="bg-BG"/>
        </w:rPr>
        <w:t>е на обществени поръчки, организация и провеждане на тръжните процедури.</w:t>
      </w:r>
    </w:p>
    <w:p w:rsidR="00467F99" w:rsidRPr="00EB3518" w:rsidRDefault="00467F99" w:rsidP="00DC30C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351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Дейност №</w:t>
      </w:r>
      <w:r w:rsidR="00255AB6" w:rsidRPr="00EB351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</w:t>
      </w:r>
      <w:r w:rsidRPr="00EB351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</w:t>
      </w:r>
      <w:r w:rsidRPr="00EB3518">
        <w:rPr>
          <w:rFonts w:ascii="Times New Roman" w:eastAsia="Times New Roman" w:hAnsi="Times New Roman" w:cs="Times New Roman"/>
          <w:sz w:val="24"/>
          <w:szCs w:val="24"/>
          <w:lang w:eastAsia="bg-BG"/>
        </w:rPr>
        <w:t>Инженеринг - проектиране, строително-монтажни работи и авторски надзор на компостиращата инсталация</w:t>
      </w:r>
    </w:p>
    <w:p w:rsidR="00467F99" w:rsidRPr="00EB3518" w:rsidRDefault="00467F99" w:rsidP="00DC30C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351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Дейност №</w:t>
      </w:r>
      <w:r w:rsidR="00255AB6" w:rsidRPr="00EB351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</w:t>
      </w:r>
      <w:r w:rsidRPr="00EB351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</w:t>
      </w:r>
      <w:r w:rsidRPr="00EB3518">
        <w:rPr>
          <w:rFonts w:ascii="Times New Roman" w:eastAsia="Times New Roman" w:hAnsi="Times New Roman" w:cs="Times New Roman"/>
          <w:sz w:val="24"/>
          <w:szCs w:val="24"/>
          <w:lang w:eastAsia="bg-BG"/>
        </w:rPr>
        <w:t>Инженеринг - проектиране, строително - монтажни работи и авторски надзор на инсталацията за предварително третиране на битов и отпадъци</w:t>
      </w:r>
    </w:p>
    <w:p w:rsidR="00467F99" w:rsidRPr="00EB3518" w:rsidRDefault="00467F99" w:rsidP="00DC30C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B351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Дейност №</w:t>
      </w:r>
      <w:r w:rsidR="00255AB6" w:rsidRPr="00EB351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5</w:t>
      </w:r>
      <w:r w:rsidRPr="00EB351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</w:t>
      </w:r>
      <w:r w:rsidRPr="00EB3518">
        <w:rPr>
          <w:rFonts w:ascii="Times New Roman" w:eastAsia="Times New Roman" w:hAnsi="Times New Roman" w:cs="Times New Roman"/>
          <w:sz w:val="24"/>
          <w:szCs w:val="24"/>
          <w:lang w:eastAsia="bg-BG"/>
        </w:rPr>
        <w:t>Упражняване на строителен надзор при изпълнение на СМР на инсталацията за компостиране и инсталацията за предварително третиране на битови отпадъци.</w:t>
      </w:r>
    </w:p>
    <w:p w:rsidR="00467F99" w:rsidRPr="00EB3518" w:rsidRDefault="00467F99" w:rsidP="00DC30C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351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Дейност №</w:t>
      </w:r>
      <w:r w:rsidR="00255AB6" w:rsidRPr="00EB351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6</w:t>
      </w:r>
      <w:r w:rsidRPr="00EB351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</w:t>
      </w:r>
      <w:r w:rsidRPr="00EB3518">
        <w:rPr>
          <w:rFonts w:ascii="Times New Roman" w:eastAsia="Times New Roman" w:hAnsi="Times New Roman" w:cs="Times New Roman"/>
          <w:sz w:val="24"/>
          <w:szCs w:val="24"/>
          <w:lang w:eastAsia="bg-BG"/>
        </w:rPr>
        <w:t>Доставка на техника, необходими за експлоатацията на инсталацията за предварително третиране.</w:t>
      </w:r>
    </w:p>
    <w:p w:rsidR="00467F99" w:rsidRPr="00EB3518" w:rsidRDefault="00467F99" w:rsidP="00DC30C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351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Дейност №</w:t>
      </w:r>
      <w:r w:rsidR="00255AB6" w:rsidRPr="00EB351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7</w:t>
      </w:r>
      <w:r w:rsidRPr="00EB351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</w:t>
      </w:r>
      <w:r w:rsidRPr="00EB3518">
        <w:rPr>
          <w:rFonts w:ascii="Times New Roman" w:eastAsia="Times New Roman" w:hAnsi="Times New Roman" w:cs="Times New Roman"/>
          <w:sz w:val="24"/>
          <w:szCs w:val="24"/>
          <w:lang w:eastAsia="bg-BG"/>
        </w:rPr>
        <w:t>Доставка на необходимото оборудване и на съоръжения и техника за разделно събиране на зелени и биоразградими битови отпадъци и специализирана транспортна техника.</w:t>
      </w:r>
    </w:p>
    <w:p w:rsidR="00467F99" w:rsidRDefault="00467F99" w:rsidP="00DC30C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351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Дейност №</w:t>
      </w:r>
      <w:r w:rsidR="00255AB6" w:rsidRPr="00EB351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8</w:t>
      </w:r>
      <w:r w:rsidRPr="00EB351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</w:t>
      </w:r>
      <w:r w:rsidRPr="00EB3518">
        <w:rPr>
          <w:rFonts w:ascii="Times New Roman" w:eastAsia="Times New Roman" w:hAnsi="Times New Roman" w:cs="Times New Roman"/>
          <w:sz w:val="24"/>
          <w:szCs w:val="24"/>
          <w:lang w:eastAsia="bg-BG"/>
        </w:rPr>
        <w:t>Организация и управление.</w:t>
      </w:r>
    </w:p>
    <w:p w:rsidR="002A48F8" w:rsidRPr="002A48F8" w:rsidRDefault="002A48F8" w:rsidP="00DC30C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A48F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Дейност №9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: Информация и публичност</w:t>
      </w:r>
    </w:p>
    <w:p w:rsidR="004E5DA0" w:rsidRPr="004E5DA0" w:rsidRDefault="004E5DA0" w:rsidP="004F2DB0">
      <w:pPr>
        <w:pStyle w:val="Default"/>
        <w:ind w:firstLine="708"/>
        <w:jc w:val="both"/>
      </w:pPr>
      <w:r w:rsidRPr="004E5DA0">
        <w:t xml:space="preserve">Целта на </w:t>
      </w:r>
      <w:r>
        <w:t>проекта</w:t>
      </w:r>
      <w:r w:rsidRPr="004E5DA0">
        <w:t xml:space="preserve"> е намаляване на количеството депонирани битови отпадъци чрез осигуряване на допълнителен капацитет за предварително третиране на смесено събрани битови отпадъци и за разделно събиране и рециклиране чрез компостиране на зелени и/или биоразградими отпадъци. Изграждането и въвеждането в експлоатация на инсталациите за компостиране и предварително третиране на битовите отпадъци, както и осигуряването на разделното събиране на зелени и/или биоразградими битови отпадъци ще допринесе за постигане на Специфична цел 1 на приоритетна ос 2 „Отпадъци“ на ОПОС 2014-2020 г. – </w:t>
      </w:r>
    </w:p>
    <w:p w:rsidR="00FA0A49" w:rsidRPr="004E5DA0" w:rsidRDefault="004E5DA0" w:rsidP="004E5DA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E5DA0">
        <w:rPr>
          <w:rFonts w:ascii="Times New Roman" w:hAnsi="Times New Roman" w:cs="Times New Roman"/>
          <w:sz w:val="24"/>
          <w:szCs w:val="24"/>
        </w:rPr>
        <w:lastRenderedPageBreak/>
        <w:t>„Намаляване на количеството депонирани битови отпадъци“. Целта на проект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4E5DA0">
        <w:rPr>
          <w:rFonts w:ascii="Times New Roman" w:hAnsi="Times New Roman" w:cs="Times New Roman"/>
          <w:sz w:val="24"/>
          <w:szCs w:val="24"/>
        </w:rPr>
        <w:t>е в съответствие с йерархията при управлението на отпадъците съгласно разпоредбите на чл. 4 на Директива 2008/98/ЕО относно отпадъците и за отмяна на определени директиви, с чл. 6, ал. 1 на Закона за управление на отпадъците (ЗУО) и с определените приоритети в Националния план за управление на отпадъците за периода 2014-2020 г. (НПУО). Реализацията на проект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E5DA0">
        <w:rPr>
          <w:rFonts w:ascii="Times New Roman" w:hAnsi="Times New Roman" w:cs="Times New Roman"/>
          <w:sz w:val="24"/>
          <w:szCs w:val="24"/>
        </w:rPr>
        <w:t xml:space="preserve"> ще подпомогне и изпълнението на задължението на България като държава – членка на ЕС, произтичащо от чл. 6 от Директива 1999/31/ЕО относно депонирането на отпадъци, за приемането на мерки да се депонират само отпадъци, които вече са били третирани. С реализация на проект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E5DA0">
        <w:rPr>
          <w:rFonts w:ascii="Times New Roman" w:hAnsi="Times New Roman" w:cs="Times New Roman"/>
          <w:sz w:val="24"/>
          <w:szCs w:val="24"/>
        </w:rPr>
        <w:t xml:space="preserve"> Общините от РСУО Мадан ще изпълнят целите по чл.31, ал.1,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4E5DA0">
        <w:rPr>
          <w:rFonts w:ascii="Times New Roman" w:hAnsi="Times New Roman" w:cs="Times New Roman"/>
          <w:sz w:val="24"/>
          <w:szCs w:val="24"/>
        </w:rPr>
        <w:t xml:space="preserve">ЗУО, тъй като до момента в трите общини няма инсталации и съоръжения за предварително третиране на битови отпадъци и за рециклиране чрез компостиране на зелени и биоразградими отпадъци и всички събрани битови отпадъци се обезвреждат, чрез депониране на регионалното депо - Мадан. </w:t>
      </w:r>
    </w:p>
    <w:p w:rsidR="00B71341" w:rsidRDefault="00C65A57" w:rsidP="00407A60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DE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Основната цел</w:t>
      </w:r>
      <w:r w:rsidRPr="00EB35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настоящата обществена поръчка е </w:t>
      </w:r>
      <w:r w:rsidR="00B71341" w:rsidRPr="00833441">
        <w:rPr>
          <w:rFonts w:ascii="Times New Roman" w:hAnsi="Times New Roman" w:cs="Times New Roman"/>
          <w:sz w:val="24"/>
          <w:szCs w:val="24"/>
        </w:rPr>
        <w:t>спазване на изискванията на Единния наръчник на бенефициента за прилагане на правилата за информация и комуникация 2014-2020 г.</w:t>
      </w:r>
      <w:r w:rsidR="00FA0A49">
        <w:rPr>
          <w:rFonts w:ascii="Times New Roman" w:hAnsi="Times New Roman" w:cs="Times New Roman"/>
          <w:sz w:val="24"/>
          <w:szCs w:val="24"/>
        </w:rPr>
        <w:t xml:space="preserve"> към </w:t>
      </w:r>
      <w:r w:rsidR="00FA0A49" w:rsidRPr="003079D8">
        <w:rPr>
          <w:rFonts w:ascii="Times New Roman" w:eastAsia="Times New Roman" w:hAnsi="Times New Roman" w:cs="Times New Roman"/>
        </w:rPr>
        <w:t>Националната комуникационна стратегия</w:t>
      </w:r>
      <w:r w:rsidR="00B71341" w:rsidRPr="00833441">
        <w:rPr>
          <w:rFonts w:ascii="Times New Roman" w:hAnsi="Times New Roman" w:cs="Times New Roman"/>
          <w:sz w:val="24"/>
          <w:szCs w:val="24"/>
        </w:rPr>
        <w:t xml:space="preserve"> и изискванията на Насоките за информация и комуникация на проекти финансирани по ОП "Околна среда 2014-2020 г", при спазване на Регламент (ЕС)№ 1303/2013 на Европейския парламент и на Съвета от 17 декември 2013 г.</w:t>
      </w:r>
      <w:r w:rsidR="00FA0A49">
        <w:rPr>
          <w:rFonts w:ascii="Times New Roman" w:hAnsi="Times New Roman" w:cs="Times New Roman"/>
          <w:sz w:val="24"/>
          <w:szCs w:val="24"/>
        </w:rPr>
        <w:t xml:space="preserve"> и </w:t>
      </w:r>
      <w:r w:rsidR="00FA0A49" w:rsidRPr="003079D8">
        <w:rPr>
          <w:rFonts w:ascii="Times New Roman" w:eastAsia="Times New Roman" w:hAnsi="Times New Roman" w:cs="Times New Roman"/>
        </w:rPr>
        <w:t xml:space="preserve">Регламент за изпълнение (ЕС) №821/2014 на Комисията от 28.07.2014 г. </w:t>
      </w:r>
      <w:r w:rsidR="00B71341" w:rsidRPr="00833441">
        <w:rPr>
          <w:rFonts w:ascii="Times New Roman" w:hAnsi="Times New Roman" w:cs="Times New Roman"/>
          <w:sz w:val="24"/>
          <w:szCs w:val="24"/>
        </w:rPr>
        <w:t xml:space="preserve"> С осъществяване на </w:t>
      </w:r>
      <w:r w:rsidR="00B71341">
        <w:rPr>
          <w:rFonts w:ascii="Times New Roman" w:hAnsi="Times New Roman" w:cs="Times New Roman"/>
          <w:sz w:val="24"/>
          <w:szCs w:val="24"/>
        </w:rPr>
        <w:t>дейностите, предмет на обществената поръчка</w:t>
      </w:r>
      <w:r w:rsidR="00B71341" w:rsidRPr="00833441">
        <w:rPr>
          <w:rFonts w:ascii="Times New Roman" w:hAnsi="Times New Roman" w:cs="Times New Roman"/>
          <w:sz w:val="24"/>
          <w:szCs w:val="24"/>
        </w:rPr>
        <w:t xml:space="preserve"> ще се информира широката общественост за съфинансирането предоставено от Европейския съюз</w:t>
      </w:r>
      <w:r w:rsidR="00407A60">
        <w:rPr>
          <w:rFonts w:ascii="Times New Roman" w:hAnsi="Times New Roman" w:cs="Times New Roman"/>
          <w:sz w:val="24"/>
          <w:szCs w:val="24"/>
        </w:rPr>
        <w:t xml:space="preserve"> чрез Европейският фонд за регионално развитие</w:t>
      </w:r>
      <w:r w:rsidR="00B71341" w:rsidRPr="00833441">
        <w:rPr>
          <w:rFonts w:ascii="Times New Roman" w:hAnsi="Times New Roman" w:cs="Times New Roman"/>
          <w:sz w:val="24"/>
          <w:szCs w:val="24"/>
        </w:rPr>
        <w:t xml:space="preserve"> по ОП "Околна среда 2014-2020г</w:t>
      </w:r>
      <w:r w:rsidR="00B71341">
        <w:rPr>
          <w:rFonts w:ascii="Times New Roman" w:hAnsi="Times New Roman" w:cs="Times New Roman"/>
          <w:sz w:val="24"/>
          <w:szCs w:val="24"/>
        </w:rPr>
        <w:t>.</w:t>
      </w:r>
      <w:r w:rsidR="00B71341" w:rsidRPr="00833441">
        <w:rPr>
          <w:rFonts w:ascii="Times New Roman" w:hAnsi="Times New Roman" w:cs="Times New Roman"/>
          <w:sz w:val="24"/>
          <w:szCs w:val="24"/>
        </w:rPr>
        <w:t>", популяризиране и представяне целите на проекта пред широк кръг лица</w:t>
      </w:r>
      <w:r w:rsidR="00B71341">
        <w:rPr>
          <w:rFonts w:ascii="Times New Roman" w:hAnsi="Times New Roman" w:cs="Times New Roman"/>
          <w:sz w:val="24"/>
          <w:szCs w:val="24"/>
        </w:rPr>
        <w:t xml:space="preserve">. </w:t>
      </w:r>
      <w:r w:rsidR="00351B0D">
        <w:rPr>
          <w:rFonts w:ascii="Times New Roman" w:hAnsi="Times New Roman" w:cs="Times New Roman"/>
          <w:sz w:val="24"/>
          <w:szCs w:val="24"/>
        </w:rPr>
        <w:t>Всички мерки за информация и публичност изрично следва да указват съфинансирането от фондовете на ЕС на проекта, чрез поставяне на :</w:t>
      </w:r>
    </w:p>
    <w:p w:rsidR="00351B0D" w:rsidRPr="003079D8" w:rsidRDefault="00351B0D" w:rsidP="00992FD7">
      <w:pPr>
        <w:pStyle w:val="a7"/>
        <w:numPr>
          <w:ilvl w:val="0"/>
          <w:numId w:val="34"/>
        </w:numPr>
        <w:shd w:val="clear" w:color="auto" w:fill="FFFFFF"/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079D8">
        <w:rPr>
          <w:rFonts w:ascii="Times New Roman" w:hAnsi="Times New Roman" w:cs="Times New Roman"/>
          <w:sz w:val="24"/>
          <w:szCs w:val="24"/>
        </w:rPr>
        <w:t>Емблемата на ЕС в съответствие с техническите характеристики,  посочени в акта</w:t>
      </w:r>
      <w:r w:rsidRPr="003079D8">
        <w:rPr>
          <w:rFonts w:ascii="Times New Roman" w:hAnsi="Times New Roman" w:cs="Times New Roman"/>
          <w:sz w:val="24"/>
          <w:szCs w:val="24"/>
        </w:rPr>
        <w:tab/>
        <w:t>за</w:t>
      </w:r>
    </w:p>
    <w:p w:rsidR="00351B0D" w:rsidRPr="003079D8" w:rsidRDefault="00351B0D" w:rsidP="00351B0D">
      <w:pPr>
        <w:shd w:val="clear" w:color="auto" w:fill="FFFFFF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079D8">
        <w:rPr>
          <w:rFonts w:ascii="Times New Roman" w:hAnsi="Times New Roman" w:cs="Times New Roman"/>
          <w:sz w:val="24"/>
          <w:szCs w:val="24"/>
        </w:rPr>
        <w:t>изпълнение, приет от Европейската комисия, с упоменаване на Европейския съюз;</w:t>
      </w:r>
    </w:p>
    <w:p w:rsidR="00351B0D" w:rsidRPr="003079D8" w:rsidRDefault="00351B0D" w:rsidP="00992FD7">
      <w:pPr>
        <w:pStyle w:val="a7"/>
        <w:numPr>
          <w:ilvl w:val="0"/>
          <w:numId w:val="34"/>
        </w:numPr>
        <w:shd w:val="clear" w:color="auto" w:fill="FFFFFF"/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079D8">
        <w:rPr>
          <w:rFonts w:ascii="Times New Roman" w:hAnsi="Times New Roman" w:cs="Times New Roman"/>
          <w:sz w:val="24"/>
          <w:szCs w:val="24"/>
        </w:rPr>
        <w:t>Упоменаване на Европейския фонд за регионално развитие;</w:t>
      </w:r>
    </w:p>
    <w:p w:rsidR="004F2DB0" w:rsidRPr="004F2DB0" w:rsidRDefault="00351B0D" w:rsidP="00992FD7">
      <w:pPr>
        <w:pStyle w:val="a7"/>
        <w:numPr>
          <w:ilvl w:val="0"/>
          <w:numId w:val="34"/>
        </w:numPr>
        <w:shd w:val="clear" w:color="auto" w:fill="FFFFFF"/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079D8">
        <w:rPr>
          <w:rFonts w:ascii="Times New Roman" w:hAnsi="Times New Roman" w:cs="Times New Roman"/>
          <w:sz w:val="24"/>
          <w:szCs w:val="24"/>
        </w:rPr>
        <w:t>Общото лого на програмен период 2014–2020 г. в съответ</w:t>
      </w:r>
      <w:r w:rsidR="00992FD7" w:rsidRPr="003079D8">
        <w:rPr>
          <w:rFonts w:ascii="Times New Roman" w:hAnsi="Times New Roman" w:cs="Times New Roman"/>
          <w:sz w:val="24"/>
          <w:szCs w:val="24"/>
        </w:rPr>
        <w:t xml:space="preserve">ствие с графичните изисквания </w:t>
      </w:r>
      <w:r w:rsidR="004A1689" w:rsidRPr="003079D8">
        <w:rPr>
          <w:rFonts w:ascii="Times New Roman" w:hAnsi="Times New Roman" w:cs="Times New Roman"/>
          <w:sz w:val="24"/>
          <w:szCs w:val="24"/>
        </w:rPr>
        <w:t xml:space="preserve">и правилата </w:t>
      </w:r>
      <w:r w:rsidRPr="003079D8">
        <w:rPr>
          <w:rFonts w:ascii="Times New Roman" w:hAnsi="Times New Roman" w:cs="Times New Roman"/>
          <w:sz w:val="24"/>
          <w:szCs w:val="24"/>
        </w:rPr>
        <w:t>за визуална идентичност.</w:t>
      </w:r>
    </w:p>
    <w:p w:rsidR="00D574C7" w:rsidRPr="00EB3518" w:rsidRDefault="00D574C7" w:rsidP="00DC30C7">
      <w:pPr>
        <w:keepNext/>
        <w:spacing w:before="240" w:after="60" w:line="276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EB3518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bg-BG"/>
        </w:rPr>
        <w:t xml:space="preserve">ІІ. </w:t>
      </w:r>
      <w:r w:rsidRPr="00EB351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ОБХВАТ НА ПОРЪЧКАТА</w:t>
      </w:r>
    </w:p>
    <w:p w:rsidR="00B12DE9" w:rsidRDefault="00D574C7" w:rsidP="00B12DE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351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Настоящата техническа спецификация дефинира минималните изисквания на Възложителя на обществената поръчка с предмет: </w:t>
      </w:r>
      <w:r w:rsidR="00B12DE9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bg-BG"/>
        </w:rPr>
        <w:t>„</w:t>
      </w:r>
      <w:r w:rsidR="00B12DE9" w:rsidRPr="00FA0A49">
        <w:rPr>
          <w:rFonts w:ascii="Times New Roman" w:hAnsi="Times New Roman" w:cs="Times New Roman"/>
          <w:color w:val="222222"/>
          <w:sz w:val="24"/>
          <w:szCs w:val="24"/>
        </w:rPr>
        <w:t>Изпълнение на дейностите по  информация и публичност, във връзка с изпълнение на проект </w:t>
      </w:r>
      <w:r w:rsidR="00B12DE9" w:rsidRPr="00FA0A49">
        <w:rPr>
          <w:rFonts w:ascii="Times New Roman" w:hAnsi="Times New Roman" w:cs="Times New Roman"/>
          <w:color w:val="000000"/>
          <w:sz w:val="24"/>
          <w:szCs w:val="24"/>
        </w:rPr>
        <w:t>„Проектиране и изграждане на компостираща инсталация и инсталация за предварително третиране на битови отпадъци на територията на РДБО Мадан, за общините Мадан, Златоград и Неделино“, финансиран от Оперативна програма „Околна среда 2014 -2020 г“ по две обособени позиции</w:t>
      </w:r>
      <w:r w:rsidR="00B12DE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B858BD" w:rsidRDefault="00B12DE9" w:rsidP="00B858BD">
      <w:pPr>
        <w:shd w:val="clear" w:color="auto" w:fill="FFFFFF"/>
        <w:spacing w:after="200" w:line="253" w:lineRule="atLeast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FA0A4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Обособена позиция №1 </w:t>
      </w:r>
      <w:r w:rsidR="00B858BD" w:rsidRPr="00B858BD">
        <w:rPr>
          <w:rFonts w:ascii="Times New Roman" w:eastAsia="MS Mincho" w:hAnsi="Times New Roman" w:cs="Times New Roman"/>
          <w:sz w:val="24"/>
          <w:szCs w:val="24"/>
        </w:rPr>
        <w:t>„Избор на Изпълнител за организиране и провеждане на информационни събития и осъществяване на мерки за информация и публичност“</w:t>
      </w:r>
    </w:p>
    <w:p w:rsidR="00B858BD" w:rsidRDefault="00D86436" w:rsidP="00B858BD">
      <w:pPr>
        <w:shd w:val="clear" w:color="auto" w:fill="FFFFFF"/>
        <w:spacing w:after="200" w:line="253" w:lineRule="atLeast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FA0A49">
        <w:rPr>
          <w:rFonts w:ascii="Times New Roman" w:hAnsi="Times New Roman" w:cs="Times New Roman"/>
          <w:b/>
          <w:bCs/>
          <w:i/>
          <w:iCs/>
          <w:color w:val="222222"/>
          <w:sz w:val="24"/>
          <w:szCs w:val="24"/>
        </w:rPr>
        <w:lastRenderedPageBreak/>
        <w:t>Обособена позиция №2 </w:t>
      </w:r>
      <w:r w:rsidR="00B858BD" w:rsidRPr="00B858BD">
        <w:rPr>
          <w:rFonts w:ascii="Times New Roman" w:eastAsia="MS Mincho" w:hAnsi="Times New Roman" w:cs="Times New Roman"/>
          <w:sz w:val="24"/>
          <w:szCs w:val="24"/>
        </w:rPr>
        <w:t>„Избор на Изпълнител за изра</w:t>
      </w:r>
      <w:r w:rsidR="006B0494">
        <w:rPr>
          <w:rFonts w:ascii="Times New Roman" w:eastAsia="MS Mincho" w:hAnsi="Times New Roman" w:cs="Times New Roman"/>
          <w:sz w:val="24"/>
          <w:szCs w:val="24"/>
        </w:rPr>
        <w:t xml:space="preserve">ботка на печатни информационни </w:t>
      </w:r>
      <w:r w:rsidR="00B858BD" w:rsidRPr="00B858BD">
        <w:rPr>
          <w:rFonts w:ascii="Times New Roman" w:eastAsia="MS Mincho" w:hAnsi="Times New Roman" w:cs="Times New Roman"/>
          <w:sz w:val="24"/>
          <w:szCs w:val="24"/>
        </w:rPr>
        <w:t>материали“</w:t>
      </w:r>
    </w:p>
    <w:p w:rsidR="004A1689" w:rsidRDefault="004A1689" w:rsidP="00B858BD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12DE9" w:rsidRDefault="00B12DE9" w:rsidP="00B12D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bg-BG"/>
        </w:rPr>
      </w:pPr>
      <w:r w:rsidRPr="00B12DE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bg-BG"/>
        </w:rPr>
        <w:t>ОБХВАТ НА ОБОСОБЕНИТЕ ПОЗИЦИИ</w:t>
      </w:r>
    </w:p>
    <w:p w:rsidR="00D86436" w:rsidRPr="00B12DE9" w:rsidRDefault="00D86436" w:rsidP="00B12DE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bg-BG"/>
        </w:rPr>
      </w:pPr>
    </w:p>
    <w:p w:rsidR="00B12DE9" w:rsidRDefault="004F2DB0" w:rsidP="00B12DE9">
      <w:pPr>
        <w:shd w:val="clear" w:color="auto" w:fill="FFFFFF"/>
        <w:spacing w:after="200" w:line="253" w:lineRule="atLeast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4F2DB0">
        <w:rPr>
          <w:rFonts w:ascii="Times New Roman" w:eastAsia="MS Mincho" w:hAnsi="Times New Roman" w:cs="Times New Roman"/>
          <w:b/>
          <w:sz w:val="24"/>
          <w:szCs w:val="24"/>
        </w:rPr>
        <w:t>Обособена позиция №1: „Избор на Изпълнител за организиране и провеждане на информационни събития и осъществяване на мерки за информация и публичност“</w:t>
      </w:r>
    </w:p>
    <w:p w:rsidR="004F2DB0" w:rsidRDefault="004F2DB0" w:rsidP="004F2DB0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614"/>
        <w:gridCol w:w="6063"/>
        <w:gridCol w:w="1921"/>
      </w:tblGrid>
      <w:tr w:rsidR="004F2DB0" w:rsidRPr="00B12DE9" w:rsidTr="00D477C8">
        <w:trPr>
          <w:jc w:val="center"/>
        </w:trPr>
        <w:tc>
          <w:tcPr>
            <w:tcW w:w="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DB0" w:rsidRPr="00B12DE9" w:rsidRDefault="004F2DB0" w:rsidP="00D477C8">
            <w:pPr>
              <w:spacing w:after="200" w:line="253" w:lineRule="atLeast"/>
              <w:jc w:val="both"/>
              <w:rPr>
                <w:rFonts w:ascii="Calibri" w:eastAsia="Times New Roman" w:hAnsi="Calibri" w:cs="Calibri"/>
                <w:lang w:eastAsia="bg-BG"/>
              </w:rPr>
            </w:pPr>
            <w:r w:rsidRPr="00B12D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60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DB0" w:rsidRPr="00B12DE9" w:rsidRDefault="004F2DB0" w:rsidP="00D477C8">
            <w:pPr>
              <w:spacing w:after="200" w:line="253" w:lineRule="atLeast"/>
              <w:jc w:val="both"/>
              <w:rPr>
                <w:rFonts w:ascii="Calibri" w:eastAsia="Times New Roman" w:hAnsi="Calibri" w:cs="Calibri"/>
                <w:lang w:eastAsia="bg-BG"/>
              </w:rPr>
            </w:pPr>
            <w:r w:rsidRPr="00B12D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Дейност</w:t>
            </w:r>
          </w:p>
        </w:tc>
        <w:tc>
          <w:tcPr>
            <w:tcW w:w="19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DB0" w:rsidRPr="00B12DE9" w:rsidRDefault="004F2DB0" w:rsidP="00D477C8">
            <w:pPr>
              <w:spacing w:after="200" w:line="253" w:lineRule="atLeast"/>
              <w:jc w:val="both"/>
              <w:rPr>
                <w:rFonts w:ascii="Calibri" w:eastAsia="Times New Roman" w:hAnsi="Calibri" w:cs="Calibri"/>
                <w:lang w:eastAsia="bg-BG"/>
              </w:rPr>
            </w:pPr>
            <w:r w:rsidRPr="00B12D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Количество</w:t>
            </w:r>
          </w:p>
        </w:tc>
      </w:tr>
      <w:tr w:rsidR="004F2DB0" w:rsidRPr="00B12DE9" w:rsidTr="00D477C8">
        <w:trPr>
          <w:jc w:val="center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DB0" w:rsidRPr="00B12DE9" w:rsidRDefault="004F2DB0" w:rsidP="00D477C8">
            <w:pPr>
              <w:spacing w:after="200" w:line="253" w:lineRule="atLeast"/>
              <w:jc w:val="both"/>
              <w:rPr>
                <w:rFonts w:ascii="Calibri" w:eastAsia="Times New Roman" w:hAnsi="Calibri" w:cs="Calibri"/>
                <w:lang w:eastAsia="bg-BG"/>
              </w:rPr>
            </w:pPr>
            <w:r w:rsidRPr="00B12D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6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DB0" w:rsidRPr="00B12DE9" w:rsidRDefault="004F2DB0" w:rsidP="00D477C8">
            <w:pPr>
              <w:spacing w:line="253" w:lineRule="atLeast"/>
              <w:jc w:val="both"/>
              <w:rPr>
                <w:rFonts w:ascii="Calibri" w:eastAsia="Times New Roman" w:hAnsi="Calibri" w:cs="Calibri"/>
                <w:lang w:eastAsia="bg-BG"/>
              </w:rPr>
            </w:pPr>
            <w:r w:rsidRPr="00B12D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Изработване на Инструкция за осигуряване на информация и публичност, съдържаща всички изисквания за задължителната визуализация на проекта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DB0" w:rsidRPr="00B12DE9" w:rsidRDefault="004F2DB0" w:rsidP="00D477C8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B12D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1бр.</w:t>
            </w:r>
          </w:p>
        </w:tc>
      </w:tr>
      <w:tr w:rsidR="004F2DB0" w:rsidRPr="00B12DE9" w:rsidTr="00D477C8">
        <w:trPr>
          <w:jc w:val="center"/>
        </w:trPr>
        <w:tc>
          <w:tcPr>
            <w:tcW w:w="6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DB0" w:rsidRPr="00B12DE9" w:rsidRDefault="004F2DB0" w:rsidP="00D477C8">
            <w:pPr>
              <w:spacing w:after="200" w:line="253" w:lineRule="atLeast"/>
              <w:jc w:val="both"/>
              <w:rPr>
                <w:rFonts w:ascii="Calibri" w:eastAsia="Times New Roman" w:hAnsi="Calibri" w:cs="Calibri"/>
                <w:lang w:eastAsia="bg-BG"/>
              </w:rPr>
            </w:pPr>
            <w:r w:rsidRPr="00B12D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60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DB0" w:rsidRPr="00B12DE9" w:rsidRDefault="004F2DB0" w:rsidP="00D477C8">
            <w:pPr>
              <w:spacing w:line="253" w:lineRule="atLeast"/>
              <w:jc w:val="both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Изработване на Интернет банери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DB0" w:rsidRPr="00B12DE9" w:rsidRDefault="004F2DB0" w:rsidP="00D477C8">
            <w:pPr>
              <w:spacing w:after="200" w:line="25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2D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3бр.</w:t>
            </w:r>
          </w:p>
        </w:tc>
      </w:tr>
      <w:tr w:rsidR="004F2DB0" w:rsidRPr="00B12DE9" w:rsidTr="00D477C8">
        <w:trPr>
          <w:jc w:val="center"/>
        </w:trPr>
        <w:tc>
          <w:tcPr>
            <w:tcW w:w="6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DB0" w:rsidRPr="00B12DE9" w:rsidRDefault="004F2DB0" w:rsidP="00D477C8">
            <w:pPr>
              <w:spacing w:after="200" w:line="253" w:lineRule="atLeast"/>
              <w:jc w:val="both"/>
              <w:rPr>
                <w:rFonts w:ascii="Calibri" w:eastAsia="Times New Roman" w:hAnsi="Calibri" w:cs="Calibri"/>
                <w:lang w:eastAsia="bg-BG"/>
              </w:rPr>
            </w:pPr>
            <w:r w:rsidRPr="00B12D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60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DB0" w:rsidRPr="00B12DE9" w:rsidRDefault="004F2DB0" w:rsidP="00D477C8">
            <w:pPr>
              <w:spacing w:line="253" w:lineRule="atLeast"/>
              <w:jc w:val="both"/>
              <w:rPr>
                <w:rFonts w:ascii="Calibri" w:eastAsia="Times New Roman" w:hAnsi="Calibri" w:cs="Calibri"/>
                <w:lang w:eastAsia="bg-BG"/>
              </w:rPr>
            </w:pPr>
            <w:r w:rsidRPr="00B12D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Организиране и провеждане на нача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лна/ откриваща пресконференция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DB0" w:rsidRPr="00B12DE9" w:rsidRDefault="004F2DB0" w:rsidP="00D477C8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B12D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1бр.</w:t>
            </w:r>
          </w:p>
        </w:tc>
      </w:tr>
      <w:tr w:rsidR="004F2DB0" w:rsidRPr="00B12DE9" w:rsidTr="00D477C8">
        <w:trPr>
          <w:jc w:val="center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DB0" w:rsidRPr="00B12DE9" w:rsidRDefault="004F2DB0" w:rsidP="00D477C8">
            <w:pPr>
              <w:spacing w:after="200" w:line="253" w:lineRule="atLeast"/>
              <w:jc w:val="both"/>
              <w:rPr>
                <w:rFonts w:ascii="Calibri" w:eastAsia="Times New Roman" w:hAnsi="Calibri" w:cs="Calibri"/>
                <w:lang w:eastAsia="bg-BG"/>
              </w:rPr>
            </w:pPr>
            <w:r w:rsidRPr="00B12D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6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DB0" w:rsidRPr="00B12DE9" w:rsidRDefault="004F2DB0" w:rsidP="00D477C8">
            <w:pPr>
              <w:spacing w:line="253" w:lineRule="atLeast"/>
              <w:jc w:val="both"/>
              <w:rPr>
                <w:rFonts w:ascii="Calibri" w:eastAsia="Times New Roman" w:hAnsi="Calibri" w:cs="Calibri"/>
                <w:lang w:eastAsia="bg-BG"/>
              </w:rPr>
            </w:pPr>
            <w:r w:rsidRPr="00B12D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Организиране и провеждане на заключителна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пресконференция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DB0" w:rsidRPr="00B12DE9" w:rsidRDefault="004F2DB0" w:rsidP="00D477C8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B12D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1бр.</w:t>
            </w:r>
          </w:p>
        </w:tc>
      </w:tr>
      <w:tr w:rsidR="004F2DB0" w:rsidRPr="00B12DE9" w:rsidTr="00D477C8">
        <w:trPr>
          <w:jc w:val="center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DB0" w:rsidRPr="00B12DE9" w:rsidRDefault="004F2DB0" w:rsidP="00D477C8">
            <w:pPr>
              <w:spacing w:after="200" w:line="253" w:lineRule="atLeast"/>
              <w:jc w:val="both"/>
              <w:rPr>
                <w:rFonts w:ascii="Calibri" w:eastAsia="Times New Roman" w:hAnsi="Calibri" w:cs="Calibri"/>
                <w:lang w:eastAsia="bg-BG"/>
              </w:rPr>
            </w:pPr>
            <w:r w:rsidRPr="00B12D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6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DB0" w:rsidRPr="00B12DE9" w:rsidRDefault="004F2DB0" w:rsidP="00D477C8">
            <w:pPr>
              <w:spacing w:line="253" w:lineRule="atLeast"/>
              <w:jc w:val="both"/>
              <w:rPr>
                <w:rFonts w:ascii="Calibri" w:eastAsia="Times New Roman" w:hAnsi="Calibri" w:cs="Calibri"/>
                <w:lang w:eastAsia="bg-BG"/>
              </w:rPr>
            </w:pPr>
            <w:r w:rsidRPr="00B12D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Организиране и провеждане на официална церемония/събитие "Първа копка"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DB0" w:rsidRPr="00B12DE9" w:rsidRDefault="004F2DB0" w:rsidP="00D477C8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B12D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1бр.</w:t>
            </w:r>
          </w:p>
        </w:tc>
      </w:tr>
      <w:tr w:rsidR="004F2DB0" w:rsidRPr="00B12DE9" w:rsidTr="00D477C8">
        <w:trPr>
          <w:jc w:val="center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DB0" w:rsidRPr="00B12DE9" w:rsidRDefault="004F2DB0" w:rsidP="00D477C8">
            <w:pPr>
              <w:spacing w:after="200" w:line="253" w:lineRule="atLeast"/>
              <w:jc w:val="both"/>
              <w:rPr>
                <w:rFonts w:ascii="Calibri" w:eastAsia="Times New Roman" w:hAnsi="Calibri" w:cs="Calibri"/>
                <w:lang w:eastAsia="bg-BG"/>
              </w:rPr>
            </w:pPr>
            <w:r w:rsidRPr="00B12D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6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DB0" w:rsidRPr="00B12DE9" w:rsidRDefault="004F2DB0" w:rsidP="00D477C8">
            <w:pPr>
              <w:spacing w:line="235" w:lineRule="atLeast"/>
              <w:jc w:val="both"/>
              <w:rPr>
                <w:rFonts w:ascii="Calibri" w:eastAsia="Times New Roman" w:hAnsi="Calibri" w:cs="Calibri"/>
                <w:lang w:eastAsia="bg-BG"/>
              </w:rPr>
            </w:pPr>
            <w:r w:rsidRPr="00B12D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Организиране и провеждане на официална церемон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ия/събитие "Откриване на обекта</w:t>
            </w:r>
            <w:r w:rsidRPr="00B12D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“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DB0" w:rsidRPr="00B12DE9" w:rsidRDefault="004F2DB0" w:rsidP="00D477C8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B12D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1бр.</w:t>
            </w:r>
          </w:p>
        </w:tc>
      </w:tr>
      <w:tr w:rsidR="004F2DB0" w:rsidRPr="00B12DE9" w:rsidTr="00327226">
        <w:trPr>
          <w:jc w:val="center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DB0" w:rsidRPr="00B12DE9" w:rsidRDefault="004F2DB0" w:rsidP="00D477C8">
            <w:pPr>
              <w:spacing w:after="200" w:line="253" w:lineRule="atLeast"/>
              <w:jc w:val="both"/>
              <w:rPr>
                <w:rFonts w:ascii="Calibri" w:eastAsia="Times New Roman" w:hAnsi="Calibri" w:cs="Calibri"/>
                <w:lang w:eastAsia="bg-BG"/>
              </w:rPr>
            </w:pPr>
            <w:r w:rsidRPr="00B12D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6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DB0" w:rsidRPr="00B12DE9" w:rsidRDefault="004F2DB0" w:rsidP="00D477C8">
            <w:pPr>
              <w:spacing w:line="253" w:lineRule="atLeast"/>
              <w:jc w:val="both"/>
              <w:rPr>
                <w:rFonts w:ascii="Calibri" w:eastAsia="Times New Roman" w:hAnsi="Calibri" w:cs="Calibri"/>
                <w:lang w:eastAsia="bg-BG"/>
              </w:rPr>
            </w:pPr>
            <w:r w:rsidRPr="00B12D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Подготвяне и публикуване на  публикации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в местните медии</w:t>
            </w:r>
            <w:r w:rsidRPr="00B12D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 съдържащи информация за напредъка на проекта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DB0" w:rsidRPr="00B12DE9" w:rsidRDefault="004F2DB0" w:rsidP="00D477C8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B12D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4бр.</w:t>
            </w:r>
          </w:p>
        </w:tc>
      </w:tr>
      <w:tr w:rsidR="00327226" w:rsidRPr="00B12DE9" w:rsidTr="00327226">
        <w:trPr>
          <w:trHeight w:val="80"/>
          <w:jc w:val="center"/>
        </w:trPr>
        <w:tc>
          <w:tcPr>
            <w:tcW w:w="6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226" w:rsidRPr="00327226" w:rsidRDefault="00327226" w:rsidP="00D477C8">
            <w:pPr>
              <w:spacing w:after="200" w:line="25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bg-BG"/>
              </w:rPr>
              <w:t>8.</w:t>
            </w:r>
          </w:p>
        </w:tc>
        <w:tc>
          <w:tcPr>
            <w:tcW w:w="6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226" w:rsidRPr="00B12DE9" w:rsidRDefault="00327226" w:rsidP="00D477C8">
            <w:pPr>
              <w:spacing w:line="253" w:lineRule="atLeast"/>
              <w:jc w:val="both"/>
              <w:rPr>
                <w:rFonts w:ascii="Calibri" w:eastAsia="Times New Roman" w:hAnsi="Calibri" w:cs="Calibri"/>
                <w:lang w:eastAsia="bg-BG"/>
              </w:rPr>
            </w:pPr>
            <w:r w:rsidRPr="00B12D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Изработване и брандиране на </w:t>
            </w:r>
            <w:r w:rsidRPr="0032722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химикалки</w:t>
            </w:r>
            <w:r w:rsidRPr="00B12D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 целите на началната и заключителната пресконференция.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226" w:rsidRPr="00B12DE9" w:rsidRDefault="00327226" w:rsidP="00D477C8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B12D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200 бр.</w:t>
            </w:r>
          </w:p>
        </w:tc>
      </w:tr>
      <w:tr w:rsidR="00327226" w:rsidRPr="00B12DE9" w:rsidTr="00327226">
        <w:trPr>
          <w:trHeight w:val="375"/>
          <w:jc w:val="center"/>
        </w:trPr>
        <w:tc>
          <w:tcPr>
            <w:tcW w:w="6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226" w:rsidRPr="00B12DE9" w:rsidRDefault="00327226" w:rsidP="00D477C8">
            <w:pPr>
              <w:spacing w:after="200" w:line="25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6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226" w:rsidRPr="00B12DE9" w:rsidRDefault="00327226" w:rsidP="00D477C8">
            <w:pPr>
              <w:spacing w:line="25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2D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Изработване и отпечатване на  </w:t>
            </w:r>
            <w:r w:rsidRPr="0032722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информационни стикери,</w:t>
            </w:r>
            <w:r w:rsidRPr="00B12D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 поставяне върху закупената техника и оборудване.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226" w:rsidRPr="00B12DE9" w:rsidRDefault="00327226" w:rsidP="00D477C8">
            <w:pPr>
              <w:spacing w:after="200" w:line="25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2D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550 бр.</w:t>
            </w:r>
          </w:p>
        </w:tc>
      </w:tr>
      <w:tr w:rsidR="00327226" w:rsidRPr="00B12DE9" w:rsidTr="00327226">
        <w:trPr>
          <w:jc w:val="center"/>
        </w:trPr>
        <w:tc>
          <w:tcPr>
            <w:tcW w:w="6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226" w:rsidRPr="00B12DE9" w:rsidRDefault="00327226" w:rsidP="00D477C8">
            <w:pPr>
              <w:spacing w:after="200" w:line="25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6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226" w:rsidRPr="00B12DE9" w:rsidRDefault="00327226" w:rsidP="00D477C8">
            <w:pPr>
              <w:spacing w:line="25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2D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ботване и поставяне на  </w:t>
            </w:r>
            <w:r w:rsidRPr="0032722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билборд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226" w:rsidRPr="00B12DE9" w:rsidRDefault="00327226" w:rsidP="00D477C8">
            <w:pPr>
              <w:spacing w:after="200" w:line="25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 бр.</w:t>
            </w:r>
          </w:p>
        </w:tc>
      </w:tr>
      <w:tr w:rsidR="00327226" w:rsidRPr="00B12DE9" w:rsidTr="00327226">
        <w:trPr>
          <w:jc w:val="center"/>
        </w:trPr>
        <w:tc>
          <w:tcPr>
            <w:tcW w:w="6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226" w:rsidRPr="00B12DE9" w:rsidRDefault="00327226" w:rsidP="00D477C8">
            <w:pPr>
              <w:spacing w:after="200" w:line="25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60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226" w:rsidRPr="00327226" w:rsidRDefault="00327226" w:rsidP="00422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226">
              <w:rPr>
                <w:rFonts w:ascii="Times New Roman" w:hAnsi="Times New Roman" w:cs="Times New Roman"/>
                <w:sz w:val="24"/>
                <w:szCs w:val="24"/>
              </w:rPr>
              <w:t xml:space="preserve"> Изработване и поставяне на  постоянни обяснителни табели.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226" w:rsidRPr="00327226" w:rsidRDefault="00327226" w:rsidP="00327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26">
              <w:rPr>
                <w:rFonts w:ascii="Times New Roman" w:hAnsi="Times New Roman" w:cs="Times New Roman"/>
                <w:sz w:val="24"/>
                <w:szCs w:val="24"/>
              </w:rPr>
              <w:t>2бр.</w:t>
            </w:r>
          </w:p>
        </w:tc>
      </w:tr>
    </w:tbl>
    <w:p w:rsidR="004F2DB0" w:rsidRDefault="004F2DB0" w:rsidP="004F2DB0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F2DB0" w:rsidRDefault="004F2DB0" w:rsidP="00B12DE9">
      <w:pPr>
        <w:shd w:val="clear" w:color="auto" w:fill="FFFFFF"/>
        <w:spacing w:after="200" w:line="253" w:lineRule="atLeast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4F2DB0" w:rsidRDefault="004F2DB0" w:rsidP="00B12DE9">
      <w:pPr>
        <w:shd w:val="clear" w:color="auto" w:fill="FFFFFF"/>
        <w:spacing w:after="200" w:line="253" w:lineRule="atLeast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4F2DB0" w:rsidRDefault="00327226" w:rsidP="00B12DE9">
      <w:pPr>
        <w:shd w:val="clear" w:color="auto" w:fill="FFFFFF"/>
        <w:spacing w:after="200" w:line="253" w:lineRule="atLeast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BD7B8C">
        <w:rPr>
          <w:rFonts w:ascii="Times New Roman" w:eastAsia="MS Mincho" w:hAnsi="Times New Roman" w:cs="Times New Roman"/>
          <w:b/>
          <w:sz w:val="24"/>
          <w:szCs w:val="24"/>
        </w:rPr>
        <w:lastRenderedPageBreak/>
        <w:t xml:space="preserve">Обособена позиция №2: „Избор на Изпълнител за изработка на печатни </w:t>
      </w:r>
      <w:r w:rsidR="006B0494">
        <w:rPr>
          <w:rFonts w:ascii="Times New Roman" w:eastAsia="MS Mincho" w:hAnsi="Times New Roman" w:cs="Times New Roman"/>
          <w:b/>
          <w:sz w:val="24"/>
          <w:szCs w:val="24"/>
        </w:rPr>
        <w:t xml:space="preserve">информационни </w:t>
      </w:r>
      <w:r w:rsidRPr="00BD7B8C">
        <w:rPr>
          <w:rFonts w:ascii="Times New Roman" w:eastAsia="MS Mincho" w:hAnsi="Times New Roman" w:cs="Times New Roman"/>
          <w:b/>
          <w:sz w:val="24"/>
          <w:szCs w:val="24"/>
        </w:rPr>
        <w:t>материали“</w:t>
      </w:r>
    </w:p>
    <w:p w:rsidR="004F2DB0" w:rsidRPr="004F2DB0" w:rsidRDefault="004F2DB0" w:rsidP="00B12DE9">
      <w:pPr>
        <w:shd w:val="clear" w:color="auto" w:fill="FFFFFF"/>
        <w:spacing w:after="200" w:line="253" w:lineRule="atLeast"/>
        <w:jc w:val="both"/>
        <w:rPr>
          <w:rFonts w:ascii="Calibri" w:eastAsia="Times New Roman" w:hAnsi="Calibri" w:cs="Calibri"/>
          <w:color w:val="222222"/>
          <w:lang w:eastAsia="bg-BG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614"/>
        <w:gridCol w:w="6063"/>
        <w:gridCol w:w="1921"/>
      </w:tblGrid>
      <w:tr w:rsidR="00B12DE9" w:rsidRPr="00B12DE9" w:rsidTr="00B12DE9">
        <w:trPr>
          <w:jc w:val="center"/>
        </w:trPr>
        <w:tc>
          <w:tcPr>
            <w:tcW w:w="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DE9" w:rsidRPr="00B12DE9" w:rsidRDefault="00B12DE9" w:rsidP="00B12DE9">
            <w:pPr>
              <w:spacing w:after="200" w:line="253" w:lineRule="atLeast"/>
              <w:jc w:val="both"/>
              <w:rPr>
                <w:rFonts w:ascii="Calibri" w:eastAsia="Times New Roman" w:hAnsi="Calibri" w:cs="Calibri"/>
                <w:lang w:eastAsia="bg-BG"/>
              </w:rPr>
            </w:pPr>
            <w:r w:rsidRPr="00B12D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60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DE9" w:rsidRPr="00B12DE9" w:rsidRDefault="00B12DE9" w:rsidP="00B12DE9">
            <w:pPr>
              <w:spacing w:after="200" w:line="253" w:lineRule="atLeast"/>
              <w:jc w:val="both"/>
              <w:rPr>
                <w:rFonts w:ascii="Calibri" w:eastAsia="Times New Roman" w:hAnsi="Calibri" w:cs="Calibri"/>
                <w:lang w:eastAsia="bg-BG"/>
              </w:rPr>
            </w:pPr>
            <w:r w:rsidRPr="00B12D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Дейност</w:t>
            </w:r>
          </w:p>
        </w:tc>
        <w:tc>
          <w:tcPr>
            <w:tcW w:w="19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DE9" w:rsidRPr="00B12DE9" w:rsidRDefault="00B12DE9" w:rsidP="00B12DE9">
            <w:pPr>
              <w:spacing w:after="200" w:line="253" w:lineRule="atLeast"/>
              <w:jc w:val="both"/>
              <w:rPr>
                <w:rFonts w:ascii="Calibri" w:eastAsia="Times New Roman" w:hAnsi="Calibri" w:cs="Calibri"/>
                <w:lang w:eastAsia="bg-BG"/>
              </w:rPr>
            </w:pPr>
            <w:r w:rsidRPr="00B12D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Количество</w:t>
            </w:r>
          </w:p>
        </w:tc>
      </w:tr>
      <w:tr w:rsidR="00B12DE9" w:rsidRPr="00B12DE9" w:rsidTr="00B12DE9">
        <w:trPr>
          <w:jc w:val="center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DE9" w:rsidRPr="00B12DE9" w:rsidRDefault="00B12DE9" w:rsidP="00B12DE9">
            <w:pPr>
              <w:spacing w:after="200" w:line="253" w:lineRule="atLeast"/>
              <w:jc w:val="both"/>
              <w:rPr>
                <w:rFonts w:ascii="Calibri" w:eastAsia="Times New Roman" w:hAnsi="Calibri" w:cs="Calibri"/>
                <w:lang w:eastAsia="bg-BG"/>
              </w:rPr>
            </w:pPr>
            <w:r w:rsidRPr="00B12D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6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DE9" w:rsidRPr="00B52B3B" w:rsidRDefault="00B12DE9" w:rsidP="00B12DE9">
            <w:pPr>
              <w:spacing w:line="235" w:lineRule="atLeast"/>
              <w:rPr>
                <w:rFonts w:ascii="Calibri" w:eastAsia="Times New Roman" w:hAnsi="Calibri" w:cs="Calibri"/>
                <w:lang w:eastAsia="bg-BG"/>
              </w:rPr>
            </w:pPr>
            <w:r w:rsidRPr="00B52B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Изработване на папки за целите на началната и заключителната пресконференция.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DE9" w:rsidRPr="00B12DE9" w:rsidRDefault="00B12DE9" w:rsidP="00B12DE9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B12D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200 бр.</w:t>
            </w:r>
          </w:p>
        </w:tc>
      </w:tr>
      <w:tr w:rsidR="00B12DE9" w:rsidRPr="00B12DE9" w:rsidTr="00B12DE9">
        <w:trPr>
          <w:jc w:val="center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DE9" w:rsidRPr="00B12DE9" w:rsidRDefault="00B12DE9" w:rsidP="00B12DE9">
            <w:pPr>
              <w:spacing w:after="200" w:line="253" w:lineRule="atLeast"/>
              <w:jc w:val="both"/>
              <w:rPr>
                <w:rFonts w:ascii="Calibri" w:eastAsia="Times New Roman" w:hAnsi="Calibri" w:cs="Calibri"/>
                <w:lang w:eastAsia="bg-BG"/>
              </w:rPr>
            </w:pPr>
            <w:r w:rsidRPr="00B12D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6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DE9" w:rsidRPr="00B52B3B" w:rsidRDefault="00B12DE9" w:rsidP="00B12DE9">
            <w:pPr>
              <w:spacing w:line="235" w:lineRule="atLeast"/>
              <w:rPr>
                <w:rFonts w:ascii="Calibri" w:eastAsia="Times New Roman" w:hAnsi="Calibri" w:cs="Calibri"/>
                <w:lang w:eastAsia="bg-BG"/>
              </w:rPr>
            </w:pPr>
            <w:r w:rsidRPr="00B52B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Изработване на тефтери  за целите на началната и заключителната пресконференция.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DE9" w:rsidRPr="00B12DE9" w:rsidRDefault="00B12DE9" w:rsidP="00B12DE9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B12D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200 бр.</w:t>
            </w:r>
          </w:p>
        </w:tc>
      </w:tr>
      <w:tr w:rsidR="00327226" w:rsidRPr="00B12DE9" w:rsidTr="00563181">
        <w:trPr>
          <w:trHeight w:val="2048"/>
          <w:jc w:val="center"/>
        </w:trPr>
        <w:tc>
          <w:tcPr>
            <w:tcW w:w="614" w:type="dxa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226" w:rsidRPr="00B12DE9" w:rsidRDefault="00327226" w:rsidP="00B12DE9">
            <w:pPr>
              <w:spacing w:after="200" w:line="253" w:lineRule="atLeast"/>
              <w:jc w:val="both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6063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226" w:rsidRPr="00B52B3B" w:rsidRDefault="00327226" w:rsidP="00B12DE9">
            <w:pPr>
              <w:spacing w:line="253" w:lineRule="atLeast"/>
              <w:jc w:val="both"/>
              <w:rPr>
                <w:rFonts w:ascii="Calibri" w:eastAsia="Times New Roman" w:hAnsi="Calibri" w:cs="Calibri"/>
                <w:lang w:eastAsia="bg-BG"/>
              </w:rPr>
            </w:pPr>
            <w:r w:rsidRPr="00B52B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Изработване и отпечатване на брошури</w:t>
            </w:r>
          </w:p>
        </w:tc>
        <w:tc>
          <w:tcPr>
            <w:tcW w:w="1921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226" w:rsidRPr="00B12DE9" w:rsidRDefault="00BC322C" w:rsidP="00BC322C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 вида</w:t>
            </w:r>
            <w:r w:rsidR="00327226" w:rsidRPr="00B12D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брошури в тираж от 500 бр. всяка</w:t>
            </w:r>
            <w:r w:rsidR="0032722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 общо 1000 бр.</w:t>
            </w:r>
          </w:p>
        </w:tc>
      </w:tr>
    </w:tbl>
    <w:p w:rsidR="003C4CF0" w:rsidRPr="00EC1840" w:rsidRDefault="00B12DE9" w:rsidP="00EC1840">
      <w:pPr>
        <w:shd w:val="clear" w:color="auto" w:fill="FFFFFF"/>
        <w:spacing w:after="200" w:line="253" w:lineRule="atLeast"/>
        <w:jc w:val="both"/>
        <w:rPr>
          <w:rFonts w:ascii="Calibri" w:eastAsia="Times New Roman" w:hAnsi="Calibri" w:cs="Calibri"/>
          <w:b/>
          <w:bCs/>
          <w:i/>
          <w:iCs/>
          <w:color w:val="222222"/>
          <w:sz w:val="23"/>
          <w:szCs w:val="23"/>
          <w:lang w:eastAsia="bg-BG"/>
        </w:rPr>
      </w:pPr>
      <w:r w:rsidRPr="00B12DE9">
        <w:rPr>
          <w:rFonts w:ascii="Calibri" w:eastAsia="Times New Roman" w:hAnsi="Calibri" w:cs="Calibri"/>
          <w:b/>
          <w:bCs/>
          <w:i/>
          <w:iCs/>
          <w:color w:val="222222"/>
          <w:sz w:val="23"/>
          <w:szCs w:val="23"/>
          <w:lang w:eastAsia="bg-BG"/>
        </w:rPr>
        <w:t> </w:t>
      </w:r>
    </w:p>
    <w:p w:rsidR="000157DA" w:rsidRPr="004F2DB0" w:rsidRDefault="00D574C7" w:rsidP="000157DA">
      <w:pPr>
        <w:pStyle w:val="1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0157DA">
        <w:rPr>
          <w:rFonts w:ascii="Times New Roman" w:eastAsia="MS Mincho" w:hAnsi="Times New Roman" w:cs="Times New Roman"/>
          <w:b/>
          <w:color w:val="auto"/>
          <w:sz w:val="24"/>
          <w:szCs w:val="24"/>
        </w:rPr>
        <w:t>ІІІ.</w:t>
      </w:r>
      <w:r w:rsidR="000157DA" w:rsidRPr="004F2DB0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ТЕХНИЧЕСКИ ПАРАМЕТРИ</w:t>
      </w:r>
    </w:p>
    <w:p w:rsidR="00B81314" w:rsidRDefault="00B81314" w:rsidP="00B81314">
      <w:pPr>
        <w:widowControl w:val="0"/>
        <w:autoSpaceDE w:val="0"/>
        <w:autoSpaceDN w:val="0"/>
        <w:spacing w:after="0" w:line="240" w:lineRule="auto"/>
        <w:ind w:left="536"/>
        <w:rPr>
          <w:rFonts w:ascii="Times New Roman" w:eastAsia="Times New Roman" w:hAnsi="Times New Roman" w:cs="Times New Roman"/>
          <w:b/>
          <w:i/>
          <w:sz w:val="24"/>
          <w:u w:val="thick"/>
        </w:rPr>
      </w:pPr>
    </w:p>
    <w:p w:rsidR="00B81314" w:rsidRPr="00EC1840" w:rsidRDefault="00B81314" w:rsidP="00EC1840">
      <w:pPr>
        <w:widowControl w:val="0"/>
        <w:autoSpaceDE w:val="0"/>
        <w:autoSpaceDN w:val="0"/>
        <w:spacing w:after="0" w:line="240" w:lineRule="auto"/>
        <w:ind w:left="536"/>
        <w:rPr>
          <w:rFonts w:ascii="Times New Roman" w:eastAsia="Times New Roman" w:hAnsi="Times New Roman" w:cs="Times New Roman"/>
          <w:b/>
          <w:i/>
          <w:sz w:val="24"/>
        </w:rPr>
      </w:pPr>
      <w:r w:rsidRPr="009B21FF">
        <w:rPr>
          <w:rFonts w:ascii="Times New Roman" w:eastAsia="Times New Roman" w:hAnsi="Times New Roman" w:cs="Times New Roman"/>
          <w:b/>
          <w:i/>
          <w:sz w:val="24"/>
          <w:u w:val="thick"/>
        </w:rPr>
        <w:t>За Обособена позиция №</w:t>
      </w:r>
      <w:r>
        <w:rPr>
          <w:rFonts w:ascii="Times New Roman" w:eastAsia="Times New Roman" w:hAnsi="Times New Roman" w:cs="Times New Roman"/>
          <w:b/>
          <w:i/>
          <w:sz w:val="24"/>
          <w:u w:val="thick"/>
        </w:rPr>
        <w:t>1</w:t>
      </w:r>
    </w:p>
    <w:p w:rsidR="00B81314" w:rsidRPr="004F577B" w:rsidRDefault="00B81314" w:rsidP="00B81314">
      <w:pPr>
        <w:pStyle w:val="ab"/>
        <w:numPr>
          <w:ilvl w:val="0"/>
          <w:numId w:val="26"/>
        </w:numPr>
        <w:spacing w:before="2" w:after="0"/>
        <w:ind w:right="34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35EF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Изработване на Инструкция за осигуряване на информация и публичност, съдържаща всички изисквания за задължителната визуализация на проекта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– 1 бр.</w:t>
      </w:r>
    </w:p>
    <w:p w:rsidR="00B81314" w:rsidRPr="004F577B" w:rsidRDefault="00B81314" w:rsidP="00B81314">
      <w:pPr>
        <w:pStyle w:val="ab"/>
        <w:spacing w:before="2" w:after="0"/>
        <w:ind w:right="340"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4F577B">
        <w:rPr>
          <w:rFonts w:ascii="Times New Roman" w:eastAsia="Times New Roman" w:hAnsi="Times New Roman"/>
          <w:sz w:val="24"/>
          <w:szCs w:val="24"/>
        </w:rPr>
        <w:t>Изпълнителят следва да разработи писмена „Инструкция за осигуряване на информация и публичност“.  Инструкцията ще бъде предоставена на всички изпълнители на проектните дейности и ще бъде задължителна за спазване от тях. В инструкцията Изпълнителят следва да разпише всички изисквания за задължителната визуализация на проекта, които изпълнителите на проектните дейности трябва да съблюдават при своята работа.</w:t>
      </w:r>
    </w:p>
    <w:p w:rsidR="00B81314" w:rsidRPr="00A35EFE" w:rsidRDefault="00B81314" w:rsidP="00B81314">
      <w:pPr>
        <w:pStyle w:val="ab"/>
        <w:numPr>
          <w:ilvl w:val="0"/>
          <w:numId w:val="26"/>
        </w:numPr>
        <w:spacing w:before="2" w:after="0"/>
        <w:ind w:right="34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F577B">
        <w:rPr>
          <w:rFonts w:ascii="Times New Roman" w:eastAsia="Times New Roman" w:hAnsi="Times New Roman"/>
          <w:b/>
          <w:sz w:val="24"/>
          <w:szCs w:val="24"/>
        </w:rPr>
        <w:t>Изработване на Интернет банери – 3 бр.</w:t>
      </w:r>
    </w:p>
    <w:p w:rsidR="00B81314" w:rsidRDefault="00B81314" w:rsidP="00B81314">
      <w:pPr>
        <w:suppressAutoHyphens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F02E6C">
        <w:rPr>
          <w:rFonts w:ascii="Times New Roman" w:hAnsi="Times New Roman" w:cs="Times New Roman"/>
          <w:sz w:val="24"/>
          <w:szCs w:val="24"/>
        </w:rPr>
        <w:t xml:space="preserve">Изработването на Интернет банер има за цел да привлече вниманието, да предизвика интереса на обществеността, да подтикне към преминаване към сайта или търсене на допълнителна информация за проекта. </w:t>
      </w:r>
      <w:r>
        <w:rPr>
          <w:rFonts w:ascii="Times New Roman" w:hAnsi="Times New Roman" w:cs="Times New Roman"/>
          <w:sz w:val="24"/>
          <w:szCs w:val="24"/>
        </w:rPr>
        <w:t xml:space="preserve">Изпълнителят следва да изработи и постави  Интернет банер на </w:t>
      </w:r>
      <w:r w:rsidRPr="009151C0">
        <w:rPr>
          <w:rFonts w:ascii="Times New Roman" w:hAnsi="Times New Roman" w:cs="Times New Roman"/>
          <w:sz w:val="24"/>
          <w:szCs w:val="24"/>
        </w:rPr>
        <w:t xml:space="preserve"> интернет страниците </w:t>
      </w:r>
      <w:r>
        <w:rPr>
          <w:rFonts w:ascii="Times New Roman" w:hAnsi="Times New Roman" w:cs="Times New Roman"/>
          <w:sz w:val="24"/>
          <w:szCs w:val="24"/>
        </w:rPr>
        <w:t xml:space="preserve">на общините Мадан, Златоград и Неделино, съдържащи кратко описание на проекта, вкл. целите и очакваните резултати. Интернет банерите трябва да бъдат изработени с „хиперлинк“ към официалния сайт на ОП „Околна среда 2014-2020 г.“ и следва да визуализират логото на ОПОС.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Банерите </w:t>
      </w:r>
      <w:r w:rsidRPr="002963EE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тряб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ва да бъдат</w:t>
      </w:r>
      <w:r w:rsidRPr="002963EE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позициониран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и</w:t>
      </w:r>
      <w:r w:rsidRPr="002963EE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на подходящо място на заглавната страница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на сайтовете на общините и да бъдат активни</w:t>
      </w:r>
      <w:r w:rsidRPr="002963EE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през целия период </w:t>
      </w:r>
      <w:r w:rsidRPr="002963EE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lastRenderedPageBreak/>
        <w:t>на изпълнение на проекта.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Дизайнът, съдържанието и мястото на поставяне трябва да бъдат предварително съгласувани и одобрени от Възложителя.</w:t>
      </w:r>
    </w:p>
    <w:p w:rsidR="00B81314" w:rsidRPr="00EC1840" w:rsidRDefault="00BC322C" w:rsidP="00BC322C">
      <w:pPr>
        <w:pStyle w:val="a7"/>
        <w:numPr>
          <w:ilvl w:val="0"/>
          <w:numId w:val="37"/>
        </w:numPr>
        <w:suppressAutoHyphens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EC18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и 4. </w:t>
      </w:r>
      <w:r w:rsidR="00B81314" w:rsidRPr="00EC18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Организиране и провеждане на начална/откриваща пресконференция и </w:t>
      </w:r>
      <w:r w:rsidR="00B81314" w:rsidRPr="00EC1840">
        <w:rPr>
          <w:rFonts w:ascii="Times New Roman" w:hAnsi="Times New Roman" w:cs="Times New Roman"/>
          <w:b/>
          <w:sz w:val="24"/>
          <w:szCs w:val="24"/>
        </w:rPr>
        <w:t>заключителна пресконференция</w:t>
      </w:r>
    </w:p>
    <w:p w:rsidR="00B81314" w:rsidRPr="006F5B5B" w:rsidRDefault="00B81314" w:rsidP="00B81314">
      <w:pPr>
        <w:pStyle w:val="a7"/>
        <w:suppressAutoHyphens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47AD9">
        <w:rPr>
          <w:rFonts w:ascii="Times New Roman" w:hAnsi="Times New Roman" w:cs="Times New Roman"/>
          <w:sz w:val="24"/>
          <w:szCs w:val="24"/>
        </w:rPr>
        <w:t>Началната/откриваща пресконференция има за цел да информира обществеността, заинтересованите лица и медиите за целите и дейностите предвидени за изпълнение и финансовата рамка на проекта.</w:t>
      </w:r>
      <w:r>
        <w:rPr>
          <w:rFonts w:ascii="Times New Roman" w:hAnsi="Times New Roman" w:cs="Times New Roman"/>
          <w:sz w:val="24"/>
          <w:szCs w:val="24"/>
        </w:rPr>
        <w:t xml:space="preserve"> Заключителната пресконференция </w:t>
      </w:r>
      <w:r w:rsidRPr="006F5B5B">
        <w:rPr>
          <w:rFonts w:ascii="Times New Roman" w:hAnsi="Times New Roman" w:cs="Times New Roman"/>
          <w:sz w:val="24"/>
          <w:szCs w:val="24"/>
        </w:rPr>
        <w:t>ще се проведе в последния месец от изпълнение на проекта, след приключване на предвиде</w:t>
      </w:r>
      <w:r>
        <w:rPr>
          <w:rFonts w:ascii="Times New Roman" w:hAnsi="Times New Roman" w:cs="Times New Roman"/>
          <w:sz w:val="24"/>
          <w:szCs w:val="24"/>
        </w:rPr>
        <w:t>ните за изпълнение дейности, ка</w:t>
      </w:r>
      <w:r w:rsidRPr="006F5B5B">
        <w:rPr>
          <w:rFonts w:ascii="Times New Roman" w:hAnsi="Times New Roman" w:cs="Times New Roman"/>
          <w:sz w:val="24"/>
          <w:szCs w:val="24"/>
        </w:rPr>
        <w:t>то има за цел за информира обществеността за изпълнението на проекта и постигнатите резултати.</w:t>
      </w:r>
    </w:p>
    <w:p w:rsidR="00B81314" w:rsidRDefault="00B81314" w:rsidP="00B81314">
      <w:pPr>
        <w:pStyle w:val="a7"/>
        <w:suppressAutoHyphens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79D8">
        <w:rPr>
          <w:rFonts w:ascii="Times New Roman" w:eastAsia="Times New Roman" w:hAnsi="Times New Roman" w:cs="Times New Roman"/>
          <w:sz w:val="24"/>
          <w:szCs w:val="24"/>
        </w:rPr>
        <w:t xml:space="preserve">Точната дата и място на събитията ще бъдат посочени от Възложителя, минимум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3079D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дни</w:t>
      </w:r>
      <w:r w:rsidRPr="003079D8">
        <w:rPr>
          <w:rFonts w:ascii="Times New Roman" w:eastAsia="Times New Roman" w:hAnsi="Times New Roman" w:cs="Times New Roman"/>
          <w:sz w:val="24"/>
          <w:szCs w:val="24"/>
        </w:rPr>
        <w:t>) дни преди датата на събитието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47AD9">
        <w:rPr>
          <w:rFonts w:ascii="Times New Roman" w:hAnsi="Times New Roman" w:cs="Times New Roman"/>
          <w:sz w:val="24"/>
          <w:szCs w:val="24"/>
        </w:rPr>
        <w:t xml:space="preserve"> Началната</w:t>
      </w:r>
      <w:r>
        <w:rPr>
          <w:rFonts w:ascii="Times New Roman" w:hAnsi="Times New Roman" w:cs="Times New Roman"/>
          <w:sz w:val="24"/>
          <w:szCs w:val="24"/>
        </w:rPr>
        <w:t xml:space="preserve"> и заключителната пресконференция трябва да бъдат проведени</w:t>
      </w:r>
      <w:r w:rsidRPr="00247AD9">
        <w:rPr>
          <w:rFonts w:ascii="Times New Roman" w:hAnsi="Times New Roman" w:cs="Times New Roman"/>
          <w:sz w:val="24"/>
          <w:szCs w:val="24"/>
        </w:rPr>
        <w:t xml:space="preserve"> при спазване изискванията на т. 3.5 от Единен наръчник на бенефициента за прилагане на правилата за информация и комуникация 2014-2020 г.</w:t>
      </w:r>
      <w:r>
        <w:rPr>
          <w:rFonts w:ascii="Times New Roman" w:hAnsi="Times New Roman" w:cs="Times New Roman"/>
          <w:sz w:val="24"/>
          <w:szCs w:val="24"/>
        </w:rPr>
        <w:t xml:space="preserve"> Предвидените</w:t>
      </w:r>
      <w:r w:rsidRPr="009151C0">
        <w:rPr>
          <w:rFonts w:ascii="Times New Roman" w:hAnsi="Times New Roman" w:cs="Times New Roman"/>
          <w:sz w:val="24"/>
          <w:szCs w:val="24"/>
        </w:rPr>
        <w:t xml:space="preserve"> пресконфере</w:t>
      </w:r>
      <w:r>
        <w:rPr>
          <w:rFonts w:ascii="Times New Roman" w:hAnsi="Times New Roman" w:cs="Times New Roman"/>
          <w:sz w:val="24"/>
          <w:szCs w:val="24"/>
        </w:rPr>
        <w:t>нции ще се проведат</w:t>
      </w:r>
      <w:r w:rsidRPr="009151C0">
        <w:rPr>
          <w:rFonts w:ascii="Times New Roman" w:hAnsi="Times New Roman" w:cs="Times New Roman"/>
          <w:sz w:val="24"/>
          <w:szCs w:val="24"/>
        </w:rPr>
        <w:t xml:space="preserve"> в зала осигурена от </w:t>
      </w:r>
      <w:r>
        <w:rPr>
          <w:rFonts w:ascii="Times New Roman" w:hAnsi="Times New Roman" w:cs="Times New Roman"/>
          <w:sz w:val="24"/>
          <w:szCs w:val="24"/>
        </w:rPr>
        <w:t xml:space="preserve">община Мадан </w:t>
      </w:r>
      <w:r w:rsidRPr="009151C0">
        <w:rPr>
          <w:rFonts w:ascii="Times New Roman" w:hAnsi="Times New Roman" w:cs="Times New Roman"/>
          <w:sz w:val="24"/>
          <w:szCs w:val="24"/>
        </w:rPr>
        <w:t>за минимум 50 души, като за присъстващите ще бъдат осигурени: присъствен списък, мултимедия, презентация, печатни информационни материали, кафе-пауза.</w:t>
      </w:r>
    </w:p>
    <w:p w:rsidR="00B81314" w:rsidRPr="003079D8" w:rsidRDefault="00B81314" w:rsidP="00B81314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79D8">
        <w:rPr>
          <w:rFonts w:ascii="Times New Roman" w:eastAsia="Times New Roman" w:hAnsi="Times New Roman" w:cs="Times New Roman"/>
          <w:sz w:val="24"/>
          <w:szCs w:val="24"/>
        </w:rPr>
        <w:t xml:space="preserve">Организирането и провеждането 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двете събития </w:t>
      </w:r>
      <w:r w:rsidRPr="003079D8">
        <w:rPr>
          <w:rFonts w:ascii="Times New Roman" w:eastAsia="Times New Roman" w:hAnsi="Times New Roman" w:cs="Times New Roman"/>
          <w:sz w:val="24"/>
          <w:szCs w:val="24"/>
        </w:rPr>
        <w:t>включва:</w:t>
      </w:r>
    </w:p>
    <w:p w:rsidR="00B81314" w:rsidRPr="003079D8" w:rsidRDefault="00B81314" w:rsidP="00B81314">
      <w:pPr>
        <w:pStyle w:val="a7"/>
        <w:widowControl w:val="0"/>
        <w:numPr>
          <w:ilvl w:val="0"/>
          <w:numId w:val="29"/>
        </w:numPr>
        <w:tabs>
          <w:tab w:val="left" w:pos="1243"/>
        </w:tabs>
        <w:autoSpaceDE w:val="0"/>
        <w:autoSpaceDN w:val="0"/>
        <w:spacing w:after="0" w:line="276" w:lineRule="auto"/>
        <w:ind w:left="567" w:right="1" w:hanging="283"/>
        <w:jc w:val="both"/>
        <w:rPr>
          <w:rFonts w:ascii="Times New Roman" w:eastAsia="Times New Roman" w:hAnsi="Times New Roman" w:cs="Times New Roman"/>
          <w:sz w:val="24"/>
        </w:rPr>
      </w:pPr>
      <w:r w:rsidRPr="003079D8">
        <w:rPr>
          <w:rFonts w:ascii="Times New Roman" w:eastAsia="Times New Roman" w:hAnsi="Times New Roman" w:cs="Times New Roman"/>
          <w:sz w:val="24"/>
        </w:rPr>
        <w:t xml:space="preserve">Подготовка и изпращане на прессъобщение </w:t>
      </w:r>
      <w:r w:rsidRPr="003079D8">
        <w:rPr>
          <w:rFonts w:ascii="Times New Roman" w:eastAsia="Times New Roman" w:hAnsi="Times New Roman" w:cs="Times New Roman"/>
          <w:spacing w:val="-4"/>
          <w:sz w:val="24"/>
        </w:rPr>
        <w:t xml:space="preserve">до </w:t>
      </w:r>
      <w:r>
        <w:rPr>
          <w:rFonts w:ascii="Times New Roman" w:hAnsi="Times New Roman" w:cs="Times New Roman"/>
          <w:sz w:val="24"/>
          <w:szCs w:val="24"/>
        </w:rPr>
        <w:t>средствата за масово осведомяване</w:t>
      </w:r>
      <w:r w:rsidRPr="00537DCB">
        <w:rPr>
          <w:rFonts w:ascii="Times New Roman" w:hAnsi="Times New Roman" w:cs="Times New Roman"/>
          <w:sz w:val="24"/>
          <w:szCs w:val="24"/>
        </w:rPr>
        <w:t>, УО на ОПОС и ОИЦ Смолян</w:t>
      </w:r>
      <w:r w:rsidRPr="003079D8">
        <w:rPr>
          <w:rFonts w:ascii="Times New Roman" w:eastAsia="Times New Roman" w:hAnsi="Times New Roman" w:cs="Times New Roman"/>
          <w:sz w:val="24"/>
        </w:rPr>
        <w:t xml:space="preserve">, с което предварително да се анонсира предстоящото публично събитие (в т.ч предварителната информация за събитието да се публикува на интернет страниците на Община </w:t>
      </w:r>
      <w:r w:rsidRPr="00537DCB">
        <w:rPr>
          <w:rFonts w:ascii="Times New Roman" w:eastAsia="Times New Roman" w:hAnsi="Times New Roman" w:cs="Times New Roman"/>
          <w:sz w:val="24"/>
        </w:rPr>
        <w:t xml:space="preserve">Мадан, Община Златоград и Община Неделино. </w:t>
      </w:r>
      <w:r w:rsidRPr="003079D8">
        <w:rPr>
          <w:rFonts w:ascii="Times New Roman" w:eastAsia="Times New Roman" w:hAnsi="Times New Roman" w:cs="Times New Roman"/>
          <w:sz w:val="24"/>
        </w:rPr>
        <w:t>Прессъобщението да бъде отразено в минимум 3 медии (печатни иелектронни);</w:t>
      </w:r>
    </w:p>
    <w:p w:rsidR="00B81314" w:rsidRPr="003079D8" w:rsidRDefault="00B81314" w:rsidP="00B81314">
      <w:pPr>
        <w:pStyle w:val="a7"/>
        <w:widowControl w:val="0"/>
        <w:numPr>
          <w:ilvl w:val="0"/>
          <w:numId w:val="29"/>
        </w:numPr>
        <w:tabs>
          <w:tab w:val="left" w:pos="1243"/>
        </w:tabs>
        <w:autoSpaceDE w:val="0"/>
        <w:autoSpaceDN w:val="0"/>
        <w:spacing w:before="6" w:after="0" w:line="276" w:lineRule="auto"/>
        <w:ind w:left="567" w:right="1" w:hanging="283"/>
        <w:jc w:val="both"/>
        <w:rPr>
          <w:rFonts w:ascii="Times New Roman" w:eastAsia="Times New Roman" w:hAnsi="Times New Roman" w:cs="Times New Roman"/>
          <w:sz w:val="24"/>
        </w:rPr>
      </w:pPr>
      <w:r w:rsidRPr="003079D8">
        <w:rPr>
          <w:rFonts w:ascii="Times New Roman" w:eastAsia="Times New Roman" w:hAnsi="Times New Roman" w:cs="Times New Roman"/>
          <w:sz w:val="24"/>
        </w:rPr>
        <w:t>Подготовка на списъци с участници и представители на медиите, които ще бъдат поканени за участие в събитието (списъците следва да бъдат утвърдени от Възложителя).</w:t>
      </w:r>
    </w:p>
    <w:p w:rsidR="00B81314" w:rsidRPr="003079D8" w:rsidRDefault="00B81314" w:rsidP="00B81314">
      <w:pPr>
        <w:pStyle w:val="a7"/>
        <w:widowControl w:val="0"/>
        <w:numPr>
          <w:ilvl w:val="0"/>
          <w:numId w:val="29"/>
        </w:numPr>
        <w:tabs>
          <w:tab w:val="left" w:pos="1242"/>
          <w:tab w:val="left" w:pos="1243"/>
        </w:tabs>
        <w:autoSpaceDE w:val="0"/>
        <w:autoSpaceDN w:val="0"/>
        <w:spacing w:before="3" w:after="0" w:line="276" w:lineRule="auto"/>
        <w:ind w:left="567" w:hanging="283"/>
        <w:jc w:val="both"/>
        <w:rPr>
          <w:rFonts w:ascii="Times New Roman" w:eastAsia="Times New Roman" w:hAnsi="Times New Roman" w:cs="Times New Roman"/>
          <w:sz w:val="24"/>
        </w:rPr>
      </w:pPr>
      <w:r w:rsidRPr="003079D8">
        <w:rPr>
          <w:rFonts w:ascii="Times New Roman" w:eastAsia="Times New Roman" w:hAnsi="Times New Roman" w:cs="Times New Roman"/>
          <w:sz w:val="24"/>
        </w:rPr>
        <w:t>Подготовка и изпращане на електронна покана (утвърдена отВъзложителя);</w:t>
      </w:r>
    </w:p>
    <w:p w:rsidR="00B81314" w:rsidRPr="003079D8" w:rsidRDefault="00B81314" w:rsidP="00B81314">
      <w:pPr>
        <w:pStyle w:val="a7"/>
        <w:widowControl w:val="0"/>
        <w:numPr>
          <w:ilvl w:val="0"/>
          <w:numId w:val="29"/>
        </w:numPr>
        <w:tabs>
          <w:tab w:val="left" w:pos="1243"/>
        </w:tabs>
        <w:autoSpaceDE w:val="0"/>
        <w:autoSpaceDN w:val="0"/>
        <w:spacing w:after="0" w:line="276" w:lineRule="auto"/>
        <w:ind w:left="567" w:right="1" w:hanging="283"/>
        <w:jc w:val="both"/>
        <w:rPr>
          <w:rFonts w:ascii="Times New Roman" w:eastAsia="Times New Roman" w:hAnsi="Times New Roman" w:cs="Times New Roman"/>
          <w:sz w:val="24"/>
        </w:rPr>
      </w:pPr>
      <w:r w:rsidRPr="003079D8">
        <w:rPr>
          <w:rFonts w:ascii="Times New Roman" w:eastAsia="Times New Roman" w:hAnsi="Times New Roman" w:cs="Times New Roman"/>
          <w:sz w:val="24"/>
        </w:rPr>
        <w:t>Подготовка на зала</w:t>
      </w:r>
      <w:r>
        <w:rPr>
          <w:rFonts w:ascii="Times New Roman" w:eastAsia="Times New Roman" w:hAnsi="Times New Roman" w:cs="Times New Roman"/>
          <w:sz w:val="24"/>
        </w:rPr>
        <w:t>та</w:t>
      </w:r>
      <w:r w:rsidRPr="003079D8">
        <w:rPr>
          <w:rFonts w:ascii="Times New Roman" w:eastAsia="Times New Roman" w:hAnsi="Times New Roman" w:cs="Times New Roman"/>
          <w:sz w:val="24"/>
        </w:rPr>
        <w:t>, в която ще се проведе събитието: техническо обезпечаване на залата – озвучаване, мултимедия, екран, присъствени списъци и осигуряване регистрацията на участниците всъбитието;</w:t>
      </w:r>
    </w:p>
    <w:p w:rsidR="00B81314" w:rsidRPr="00537DCB" w:rsidRDefault="00B81314" w:rsidP="00B81314">
      <w:pPr>
        <w:pStyle w:val="a7"/>
        <w:widowControl w:val="0"/>
        <w:numPr>
          <w:ilvl w:val="0"/>
          <w:numId w:val="29"/>
        </w:numPr>
        <w:tabs>
          <w:tab w:val="left" w:pos="1242"/>
          <w:tab w:val="left" w:pos="1243"/>
        </w:tabs>
        <w:autoSpaceDE w:val="0"/>
        <w:autoSpaceDN w:val="0"/>
        <w:spacing w:before="1" w:after="0" w:line="276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537DCB">
        <w:rPr>
          <w:rFonts w:ascii="Times New Roman" w:eastAsia="Times New Roman" w:hAnsi="Times New Roman" w:cs="Times New Roman"/>
          <w:sz w:val="24"/>
          <w:lang w:val="en-US"/>
        </w:rPr>
        <w:t>Водещ на</w:t>
      </w:r>
      <w:r>
        <w:rPr>
          <w:rFonts w:ascii="Times New Roman" w:eastAsia="Times New Roman" w:hAnsi="Times New Roman" w:cs="Times New Roman"/>
          <w:sz w:val="24"/>
          <w:lang w:val="en-US"/>
        </w:rPr>
        <w:t>пресконференцията</w:t>
      </w:r>
      <w:r w:rsidRPr="00537DCB">
        <w:rPr>
          <w:rFonts w:ascii="Times New Roman" w:eastAsia="Times New Roman" w:hAnsi="Times New Roman" w:cs="Times New Roman"/>
          <w:sz w:val="24"/>
          <w:lang w:val="en-US"/>
        </w:rPr>
        <w:t>;</w:t>
      </w:r>
    </w:p>
    <w:p w:rsidR="00B81314" w:rsidRDefault="00B81314" w:rsidP="00B81314">
      <w:pPr>
        <w:pStyle w:val="a7"/>
        <w:widowControl w:val="0"/>
        <w:numPr>
          <w:ilvl w:val="0"/>
          <w:numId w:val="29"/>
        </w:numPr>
        <w:tabs>
          <w:tab w:val="left" w:pos="1242"/>
          <w:tab w:val="left" w:pos="1243"/>
        </w:tabs>
        <w:autoSpaceDE w:val="0"/>
        <w:autoSpaceDN w:val="0"/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537DCB">
        <w:rPr>
          <w:rFonts w:ascii="Times New Roman" w:eastAsia="Times New Roman" w:hAnsi="Times New Roman" w:cs="Times New Roman"/>
          <w:sz w:val="24"/>
          <w:lang w:val="en-US"/>
        </w:rPr>
        <w:t>Мултимедийна презентация (предварително съгласувана сВъзложителя);</w:t>
      </w:r>
    </w:p>
    <w:p w:rsidR="00B81314" w:rsidRPr="00537DCB" w:rsidRDefault="00B81314" w:rsidP="00B81314">
      <w:pPr>
        <w:pStyle w:val="a7"/>
        <w:widowControl w:val="0"/>
        <w:numPr>
          <w:ilvl w:val="0"/>
          <w:numId w:val="29"/>
        </w:numPr>
        <w:tabs>
          <w:tab w:val="left" w:pos="1242"/>
          <w:tab w:val="left" w:pos="1243"/>
        </w:tabs>
        <w:autoSpaceDE w:val="0"/>
        <w:autoSpaceDN w:val="0"/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151C0">
        <w:rPr>
          <w:rFonts w:ascii="Times New Roman" w:hAnsi="Times New Roman" w:cs="Times New Roman"/>
          <w:sz w:val="24"/>
          <w:szCs w:val="24"/>
        </w:rPr>
        <w:t>ечатни информационни материали</w:t>
      </w:r>
      <w:r>
        <w:rPr>
          <w:rFonts w:ascii="Times New Roman" w:hAnsi="Times New Roman" w:cs="Times New Roman"/>
          <w:sz w:val="24"/>
          <w:szCs w:val="24"/>
        </w:rPr>
        <w:t xml:space="preserve"> (папки, тефтери, химикалки, брошури);</w:t>
      </w:r>
    </w:p>
    <w:p w:rsidR="00B81314" w:rsidRPr="00537DCB" w:rsidRDefault="00B81314" w:rsidP="00B81314">
      <w:pPr>
        <w:pStyle w:val="a7"/>
        <w:widowControl w:val="0"/>
        <w:numPr>
          <w:ilvl w:val="0"/>
          <w:numId w:val="29"/>
        </w:numPr>
        <w:tabs>
          <w:tab w:val="left" w:pos="1242"/>
          <w:tab w:val="left" w:pos="1243"/>
        </w:tabs>
        <w:autoSpaceDE w:val="0"/>
        <w:autoSpaceDN w:val="0"/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537DCB">
        <w:rPr>
          <w:rFonts w:ascii="Times New Roman" w:eastAsia="Times New Roman" w:hAnsi="Times New Roman" w:cs="Times New Roman"/>
          <w:sz w:val="24"/>
          <w:lang w:val="en-US"/>
        </w:rPr>
        <w:t>Осигуряване на снимков материал отсъбитието;</w:t>
      </w:r>
    </w:p>
    <w:p w:rsidR="00B81314" w:rsidRPr="00537DCB" w:rsidRDefault="00B81314" w:rsidP="00B81314">
      <w:pPr>
        <w:pStyle w:val="a7"/>
        <w:widowControl w:val="0"/>
        <w:numPr>
          <w:ilvl w:val="0"/>
          <w:numId w:val="29"/>
        </w:numPr>
        <w:tabs>
          <w:tab w:val="left" w:pos="1242"/>
          <w:tab w:val="left" w:pos="1243"/>
        </w:tabs>
        <w:autoSpaceDE w:val="0"/>
        <w:autoSpaceDN w:val="0"/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537DCB">
        <w:rPr>
          <w:rFonts w:ascii="Times New Roman" w:eastAsia="Times New Roman" w:hAnsi="Times New Roman" w:cs="Times New Roman"/>
          <w:sz w:val="24"/>
          <w:lang w:val="en-US"/>
        </w:rPr>
        <w:t xml:space="preserve">Кафе пауза за минимум </w:t>
      </w:r>
      <w:r>
        <w:rPr>
          <w:rFonts w:ascii="Times New Roman" w:eastAsia="Times New Roman" w:hAnsi="Times New Roman" w:cs="Times New Roman"/>
          <w:sz w:val="24"/>
        </w:rPr>
        <w:t>5</w:t>
      </w:r>
      <w:r w:rsidRPr="00537DCB">
        <w:rPr>
          <w:rFonts w:ascii="Times New Roman" w:eastAsia="Times New Roman" w:hAnsi="Times New Roman" w:cs="Times New Roman"/>
          <w:sz w:val="24"/>
          <w:lang w:val="en-US"/>
        </w:rPr>
        <w:t xml:space="preserve">0 участници (минерална вода, </w:t>
      </w:r>
      <w:r>
        <w:rPr>
          <w:rFonts w:ascii="Times New Roman" w:eastAsia="Times New Roman" w:hAnsi="Times New Roman" w:cs="Times New Roman"/>
          <w:sz w:val="24"/>
        </w:rPr>
        <w:t xml:space="preserve">дребни сладки и соленки, </w:t>
      </w:r>
      <w:r w:rsidRPr="00537DCB">
        <w:rPr>
          <w:rFonts w:ascii="Times New Roman" w:eastAsia="Times New Roman" w:hAnsi="Times New Roman" w:cs="Times New Roman"/>
          <w:sz w:val="24"/>
          <w:lang w:val="en-US"/>
        </w:rPr>
        <w:t>чай,кафе);</w:t>
      </w:r>
    </w:p>
    <w:p w:rsidR="00B81314" w:rsidRPr="00697BFC" w:rsidRDefault="00B81314" w:rsidP="00B81314">
      <w:pPr>
        <w:pStyle w:val="a7"/>
        <w:widowControl w:val="0"/>
        <w:numPr>
          <w:ilvl w:val="0"/>
          <w:numId w:val="29"/>
        </w:numPr>
        <w:tabs>
          <w:tab w:val="left" w:pos="1242"/>
          <w:tab w:val="left" w:pos="1243"/>
        </w:tabs>
        <w:autoSpaceDE w:val="0"/>
        <w:autoSpaceDN w:val="0"/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</w:rPr>
        <w:t>С</w:t>
      </w:r>
      <w:r w:rsidRPr="00697BFC">
        <w:rPr>
          <w:rFonts w:ascii="Times New Roman" w:eastAsia="Times New Roman" w:hAnsi="Times New Roman" w:cs="Times New Roman"/>
          <w:sz w:val="24"/>
        </w:rPr>
        <w:t>лед приключване на събитието</w:t>
      </w:r>
      <w:r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  <w:lang w:val="en-US"/>
        </w:rPr>
        <w:t>и</w:t>
      </w:r>
      <w:r w:rsidRPr="00697BFC">
        <w:rPr>
          <w:rFonts w:ascii="Times New Roman" w:eastAsia="Times New Roman" w:hAnsi="Times New Roman" w:cs="Times New Roman"/>
          <w:sz w:val="24"/>
          <w:lang w:val="en-US"/>
        </w:rPr>
        <w:t xml:space="preserve">зготвяне и разпространение </w:t>
      </w:r>
      <w:r>
        <w:rPr>
          <w:rFonts w:ascii="Times New Roman" w:eastAsia="Times New Roman" w:hAnsi="Times New Roman" w:cs="Times New Roman"/>
          <w:sz w:val="24"/>
        </w:rPr>
        <w:t xml:space="preserve">на </w:t>
      </w:r>
      <w:r w:rsidRPr="00697BFC">
        <w:rPr>
          <w:rFonts w:ascii="Times New Roman" w:eastAsia="Times New Roman" w:hAnsi="Times New Roman" w:cs="Times New Roman"/>
          <w:sz w:val="24"/>
          <w:lang w:val="en-US"/>
        </w:rPr>
        <w:t>прессъобщение</w:t>
      </w:r>
      <w:r w:rsidRPr="00572A36">
        <w:rPr>
          <w:rFonts w:ascii="Times New Roman" w:eastAsia="Times New Roman" w:hAnsi="Times New Roman" w:cs="Times New Roman"/>
          <w:sz w:val="24"/>
        </w:rPr>
        <w:t>в информационните сайтове на общините, в които резюмирано ще бъде пре</w:t>
      </w:r>
      <w:r>
        <w:rPr>
          <w:rFonts w:ascii="Times New Roman" w:eastAsia="Times New Roman" w:hAnsi="Times New Roman" w:cs="Times New Roman"/>
          <w:sz w:val="24"/>
        </w:rPr>
        <w:t>дставена информация за събитието.</w:t>
      </w:r>
    </w:p>
    <w:p w:rsidR="00B81314" w:rsidRPr="00697BFC" w:rsidRDefault="00B81314" w:rsidP="00B81314">
      <w:pPr>
        <w:pStyle w:val="a7"/>
        <w:widowControl w:val="0"/>
        <w:numPr>
          <w:ilvl w:val="0"/>
          <w:numId w:val="29"/>
        </w:numPr>
        <w:tabs>
          <w:tab w:val="left" w:pos="1242"/>
          <w:tab w:val="left" w:pos="1243"/>
        </w:tabs>
        <w:autoSpaceDE w:val="0"/>
        <w:autoSpaceDN w:val="0"/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</w:rPr>
        <w:t>А</w:t>
      </w:r>
      <w:r w:rsidRPr="00697BFC">
        <w:rPr>
          <w:rFonts w:ascii="Times New Roman" w:eastAsia="Times New Roman" w:hAnsi="Times New Roman" w:cs="Times New Roman"/>
          <w:sz w:val="24"/>
          <w:lang w:val="en-US"/>
        </w:rPr>
        <w:t>рхивира</w:t>
      </w:r>
      <w:r>
        <w:rPr>
          <w:rFonts w:ascii="Times New Roman" w:eastAsia="Times New Roman" w:hAnsi="Times New Roman" w:cs="Times New Roman"/>
          <w:sz w:val="24"/>
        </w:rPr>
        <w:t>не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 и предоставяне</w:t>
      </w:r>
      <w:r w:rsidRPr="00697BFC">
        <w:rPr>
          <w:rFonts w:ascii="Times New Roman" w:eastAsia="Times New Roman" w:hAnsi="Times New Roman" w:cs="Times New Roman"/>
          <w:sz w:val="24"/>
          <w:lang w:val="en-US"/>
        </w:rPr>
        <w:t xml:space="preserve"> на хартиен и електронен носител доказателства за </w:t>
      </w:r>
      <w:r w:rsidRPr="00697BFC">
        <w:rPr>
          <w:rFonts w:ascii="Times New Roman" w:eastAsia="Times New Roman" w:hAnsi="Times New Roman" w:cs="Times New Roman"/>
          <w:sz w:val="24"/>
          <w:lang w:val="en-US"/>
        </w:rPr>
        <w:lastRenderedPageBreak/>
        <w:t xml:space="preserve">проведеното събитие (снимки, видео, </w:t>
      </w:r>
      <w:r>
        <w:rPr>
          <w:rFonts w:ascii="Times New Roman" w:eastAsia="Times New Roman" w:hAnsi="Times New Roman" w:cs="Times New Roman"/>
          <w:sz w:val="24"/>
        </w:rPr>
        <w:t>медиен мониторинг за отразяване на събитието</w:t>
      </w:r>
      <w:r w:rsidRPr="00697BFC">
        <w:rPr>
          <w:rFonts w:ascii="Times New Roman" w:eastAsia="Times New Roman" w:hAnsi="Times New Roman" w:cs="Times New Roman"/>
          <w:sz w:val="24"/>
          <w:lang w:val="en-US"/>
        </w:rPr>
        <w:t>, присъствени списъци и др.);</w:t>
      </w:r>
    </w:p>
    <w:p w:rsidR="00B81314" w:rsidRDefault="00B81314" w:rsidP="00B81314">
      <w:pPr>
        <w:pStyle w:val="a7"/>
        <w:suppressAutoHyphens/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B81314" w:rsidRPr="00387542" w:rsidRDefault="00B81314" w:rsidP="00387542">
      <w:pPr>
        <w:pStyle w:val="a7"/>
        <w:numPr>
          <w:ilvl w:val="0"/>
          <w:numId w:val="39"/>
        </w:numPr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754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Организиране и провеждане на официална церемония/събитие "Първа копка"</w:t>
      </w:r>
    </w:p>
    <w:p w:rsidR="00B81314" w:rsidRPr="003079D8" w:rsidRDefault="00B81314" w:rsidP="00B81314">
      <w:pPr>
        <w:pStyle w:val="a7"/>
        <w:suppressAutoHyphens/>
        <w:spacing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79D8">
        <w:rPr>
          <w:rFonts w:ascii="Times New Roman" w:eastAsia="Times New Roman" w:hAnsi="Times New Roman" w:cs="Times New Roman"/>
          <w:sz w:val="24"/>
          <w:szCs w:val="24"/>
        </w:rPr>
        <w:t>Преди старта на строителните дейности за обекта трябва да бъде проведена официална церемония по отбелязване началото на строителните работи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„Първа копка“</w:t>
      </w:r>
      <w:r w:rsidRPr="003079D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81314" w:rsidRDefault="00B81314" w:rsidP="00B81314">
      <w:pPr>
        <w:pStyle w:val="a7"/>
        <w:suppressAutoHyphens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</w:rPr>
      </w:pPr>
      <w:r w:rsidRPr="003079D8">
        <w:rPr>
          <w:rFonts w:ascii="Times New Roman" w:eastAsia="Times New Roman" w:hAnsi="Times New Roman" w:cs="Times New Roman"/>
          <w:sz w:val="24"/>
          <w:szCs w:val="24"/>
        </w:rPr>
        <w:t>Церемонията следва да бъдат проведена при спазване изискванията на т. 3.6 от Единен наръчник на бенефициента за прилагане на правилата за информация и комуникация 2014-2020 г.</w:t>
      </w:r>
      <w:r w:rsidRPr="003079D8">
        <w:rPr>
          <w:rFonts w:ascii="Times New Roman" w:eastAsia="Times New Roman" w:hAnsi="Times New Roman" w:cs="Times New Roman"/>
          <w:sz w:val="24"/>
        </w:rPr>
        <w:t xml:space="preserve">Точната дата и място на събитието ще бъде посочена от Възложителя минимум </w:t>
      </w:r>
      <w:r>
        <w:rPr>
          <w:rFonts w:ascii="Times New Roman" w:eastAsia="Times New Roman" w:hAnsi="Times New Roman" w:cs="Times New Roman"/>
          <w:sz w:val="24"/>
        </w:rPr>
        <w:t>20</w:t>
      </w:r>
      <w:r w:rsidRPr="003079D8">
        <w:rPr>
          <w:rFonts w:ascii="Times New Roman" w:eastAsia="Times New Roman" w:hAnsi="Times New Roman" w:cs="Times New Roman"/>
          <w:sz w:val="24"/>
        </w:rPr>
        <w:t xml:space="preserve"> (</w:t>
      </w:r>
      <w:r>
        <w:rPr>
          <w:rFonts w:ascii="Times New Roman" w:eastAsia="Times New Roman" w:hAnsi="Times New Roman" w:cs="Times New Roman"/>
          <w:sz w:val="24"/>
        </w:rPr>
        <w:t>двадесет</w:t>
      </w:r>
      <w:r w:rsidRPr="003079D8">
        <w:rPr>
          <w:rFonts w:ascii="Times New Roman" w:eastAsia="Times New Roman" w:hAnsi="Times New Roman" w:cs="Times New Roman"/>
          <w:sz w:val="24"/>
        </w:rPr>
        <w:t>) днипредварително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B81314" w:rsidRDefault="00B81314" w:rsidP="00B81314">
      <w:pPr>
        <w:widowControl w:val="0"/>
        <w:tabs>
          <w:tab w:val="left" w:pos="1061"/>
        </w:tabs>
        <w:autoSpaceDE w:val="0"/>
        <w:autoSpaceDN w:val="0"/>
        <w:spacing w:after="0" w:line="293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871F26">
        <w:rPr>
          <w:rFonts w:ascii="Times New Roman" w:eastAsia="Times New Roman" w:hAnsi="Times New Roman" w:cs="Times New Roman"/>
          <w:sz w:val="24"/>
          <w:szCs w:val="24"/>
        </w:rPr>
        <w:t>Дейността включва организация и провеждане в следния минимален обхват:</w:t>
      </w:r>
    </w:p>
    <w:p w:rsidR="00B81314" w:rsidRPr="003079D8" w:rsidRDefault="00B81314" w:rsidP="00B81314">
      <w:pPr>
        <w:pStyle w:val="a7"/>
        <w:widowControl w:val="0"/>
        <w:numPr>
          <w:ilvl w:val="0"/>
          <w:numId w:val="31"/>
        </w:numPr>
        <w:tabs>
          <w:tab w:val="left" w:pos="1061"/>
        </w:tabs>
        <w:autoSpaceDE w:val="0"/>
        <w:autoSpaceDN w:val="0"/>
        <w:spacing w:before="2" w:after="0" w:line="293" w:lineRule="exact"/>
        <w:jc w:val="both"/>
        <w:rPr>
          <w:rFonts w:ascii="Times New Roman" w:eastAsia="Times New Roman" w:hAnsi="Times New Roman" w:cs="Times New Roman"/>
          <w:sz w:val="24"/>
        </w:rPr>
      </w:pPr>
      <w:r w:rsidRPr="003079D8">
        <w:rPr>
          <w:rFonts w:ascii="Times New Roman" w:eastAsia="Times New Roman" w:hAnsi="Times New Roman" w:cs="Times New Roman"/>
          <w:sz w:val="24"/>
        </w:rPr>
        <w:t xml:space="preserve">Да </w:t>
      </w:r>
      <w:r>
        <w:rPr>
          <w:rFonts w:ascii="Times New Roman" w:eastAsia="Times New Roman" w:hAnsi="Times New Roman" w:cs="Times New Roman"/>
          <w:sz w:val="24"/>
        </w:rPr>
        <w:t xml:space="preserve">бъде </w:t>
      </w:r>
      <w:r w:rsidRPr="003079D8">
        <w:rPr>
          <w:rFonts w:ascii="Times New Roman" w:eastAsia="Times New Roman" w:hAnsi="Times New Roman" w:cs="Times New Roman"/>
          <w:sz w:val="24"/>
        </w:rPr>
        <w:t>изготве</w:t>
      </w:r>
      <w:r>
        <w:rPr>
          <w:rFonts w:ascii="Times New Roman" w:eastAsia="Times New Roman" w:hAnsi="Times New Roman" w:cs="Times New Roman"/>
          <w:sz w:val="24"/>
        </w:rPr>
        <w:t>на</w:t>
      </w:r>
      <w:r w:rsidRPr="003079D8">
        <w:rPr>
          <w:rFonts w:ascii="Times New Roman" w:eastAsia="Times New Roman" w:hAnsi="Times New Roman" w:cs="Times New Roman"/>
          <w:sz w:val="24"/>
        </w:rPr>
        <w:t xml:space="preserve"> програма насъбитието;</w:t>
      </w:r>
    </w:p>
    <w:p w:rsidR="00B81314" w:rsidRPr="003079D8" w:rsidRDefault="00B81314" w:rsidP="00B81314">
      <w:pPr>
        <w:pStyle w:val="a7"/>
        <w:widowControl w:val="0"/>
        <w:numPr>
          <w:ilvl w:val="0"/>
          <w:numId w:val="31"/>
        </w:numPr>
        <w:tabs>
          <w:tab w:val="left" w:pos="1061"/>
        </w:tabs>
        <w:autoSpaceDE w:val="0"/>
        <w:autoSpaceDN w:val="0"/>
        <w:spacing w:before="2"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 w:rsidRPr="003079D8">
        <w:rPr>
          <w:rFonts w:ascii="Times New Roman" w:eastAsia="Times New Roman" w:hAnsi="Times New Roman" w:cs="Times New Roman"/>
          <w:sz w:val="24"/>
        </w:rPr>
        <w:t>Да бъде предварително анонсирана по подходящ начин, чрез разпространение на прессъобщение до средствата за масово осведомяване и/или публикуване на рекламно-информационно съобщение в регионална</w:t>
      </w:r>
      <w:r>
        <w:rPr>
          <w:rFonts w:ascii="Times New Roman" w:eastAsia="Times New Roman" w:hAnsi="Times New Roman" w:cs="Times New Roman"/>
          <w:sz w:val="24"/>
        </w:rPr>
        <w:t>/и</w:t>
      </w:r>
      <w:r w:rsidRPr="003079D8">
        <w:rPr>
          <w:rFonts w:ascii="Times New Roman" w:eastAsia="Times New Roman" w:hAnsi="Times New Roman" w:cs="Times New Roman"/>
          <w:sz w:val="24"/>
        </w:rPr>
        <w:t xml:space="preserve"> медия</w:t>
      </w:r>
      <w:r>
        <w:rPr>
          <w:rFonts w:ascii="Times New Roman" w:eastAsia="Times New Roman" w:hAnsi="Times New Roman" w:cs="Times New Roman"/>
          <w:sz w:val="24"/>
        </w:rPr>
        <w:t xml:space="preserve"> (</w:t>
      </w:r>
      <w:r w:rsidRPr="003079D8">
        <w:rPr>
          <w:rFonts w:ascii="Times New Roman" w:eastAsia="Times New Roman" w:hAnsi="Times New Roman" w:cs="Times New Roman"/>
          <w:sz w:val="24"/>
        </w:rPr>
        <w:t>в т.ч предварителна информация да се публикува на интернет страниците на</w:t>
      </w:r>
      <w:r>
        <w:rPr>
          <w:rFonts w:ascii="Times New Roman" w:eastAsia="Times New Roman" w:hAnsi="Times New Roman" w:cs="Times New Roman"/>
          <w:sz w:val="24"/>
        </w:rPr>
        <w:t xml:space="preserve"> трите общини)</w:t>
      </w:r>
      <w:r w:rsidRPr="003079D8">
        <w:rPr>
          <w:rFonts w:ascii="Times New Roman" w:eastAsia="Times New Roman" w:hAnsi="Times New Roman" w:cs="Times New Roman"/>
          <w:sz w:val="24"/>
        </w:rPr>
        <w:t xml:space="preserve">. </w:t>
      </w:r>
    </w:p>
    <w:p w:rsidR="00B81314" w:rsidRPr="00B81314" w:rsidRDefault="00B81314" w:rsidP="00B81314">
      <w:pPr>
        <w:pStyle w:val="a7"/>
        <w:widowControl w:val="0"/>
        <w:numPr>
          <w:ilvl w:val="0"/>
          <w:numId w:val="31"/>
        </w:numPr>
        <w:tabs>
          <w:tab w:val="left" w:pos="1061"/>
        </w:tabs>
        <w:autoSpaceDE w:val="0"/>
        <w:autoSpaceDN w:val="0"/>
        <w:spacing w:before="2"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 w:rsidRPr="00B81314">
        <w:rPr>
          <w:rFonts w:ascii="Times New Roman" w:eastAsia="Times New Roman" w:hAnsi="Times New Roman" w:cs="Times New Roman"/>
          <w:sz w:val="24"/>
        </w:rPr>
        <w:t xml:space="preserve">Да бъде изпратена предварителна информация и датата на провеждане на </w:t>
      </w:r>
      <w:r>
        <w:rPr>
          <w:rFonts w:ascii="Times New Roman" w:eastAsia="Times New Roman" w:hAnsi="Times New Roman" w:cs="Times New Roman"/>
          <w:sz w:val="24"/>
        </w:rPr>
        <w:t>церемонията</w:t>
      </w:r>
      <w:r w:rsidRPr="00B81314">
        <w:rPr>
          <w:rFonts w:ascii="Times New Roman" w:eastAsia="Times New Roman" w:hAnsi="Times New Roman" w:cs="Times New Roman"/>
          <w:sz w:val="24"/>
        </w:rPr>
        <w:t xml:space="preserve"> до Управляващия орган на ОП „Околна среда 2014-2020 г.“ и до ОИЦ – </w:t>
      </w:r>
      <w:r>
        <w:rPr>
          <w:rFonts w:ascii="Times New Roman" w:eastAsia="Times New Roman" w:hAnsi="Times New Roman" w:cs="Times New Roman"/>
          <w:sz w:val="24"/>
        </w:rPr>
        <w:t>Смолян</w:t>
      </w:r>
      <w:r w:rsidRPr="00B81314">
        <w:rPr>
          <w:rFonts w:ascii="Times New Roman" w:eastAsia="Times New Roman" w:hAnsi="Times New Roman" w:cs="Times New Roman"/>
          <w:sz w:val="24"/>
        </w:rPr>
        <w:t xml:space="preserve">. </w:t>
      </w:r>
    </w:p>
    <w:p w:rsidR="00B81314" w:rsidRPr="00B81314" w:rsidRDefault="00B81314" w:rsidP="00B81314">
      <w:pPr>
        <w:pStyle w:val="a7"/>
        <w:widowControl w:val="0"/>
        <w:numPr>
          <w:ilvl w:val="0"/>
          <w:numId w:val="30"/>
        </w:numPr>
        <w:tabs>
          <w:tab w:val="left" w:pos="1061"/>
        </w:tabs>
        <w:autoSpaceDE w:val="0"/>
        <w:autoSpaceDN w:val="0"/>
        <w:spacing w:before="2" w:after="0" w:line="237" w:lineRule="auto"/>
        <w:ind w:right="339"/>
        <w:jc w:val="both"/>
        <w:rPr>
          <w:rFonts w:ascii="Times New Roman" w:eastAsia="Times New Roman" w:hAnsi="Times New Roman" w:cs="Times New Roman"/>
          <w:sz w:val="24"/>
        </w:rPr>
      </w:pPr>
      <w:r w:rsidRPr="00B81314">
        <w:rPr>
          <w:rFonts w:ascii="Times New Roman" w:eastAsia="Times New Roman" w:hAnsi="Times New Roman" w:cs="Times New Roman"/>
          <w:sz w:val="24"/>
        </w:rPr>
        <w:t xml:space="preserve">Да </w:t>
      </w:r>
      <w:r>
        <w:rPr>
          <w:rFonts w:ascii="Times New Roman" w:eastAsia="Times New Roman" w:hAnsi="Times New Roman" w:cs="Times New Roman"/>
          <w:sz w:val="24"/>
        </w:rPr>
        <w:t xml:space="preserve">се </w:t>
      </w:r>
      <w:r w:rsidRPr="00B81314">
        <w:rPr>
          <w:rFonts w:ascii="Times New Roman" w:eastAsia="Times New Roman" w:hAnsi="Times New Roman" w:cs="Times New Roman"/>
          <w:sz w:val="24"/>
        </w:rPr>
        <w:t xml:space="preserve">състави списък с </w:t>
      </w:r>
      <w:r>
        <w:rPr>
          <w:rFonts w:ascii="Times New Roman" w:eastAsia="Times New Roman" w:hAnsi="Times New Roman" w:cs="Times New Roman"/>
          <w:sz w:val="24"/>
        </w:rPr>
        <w:t>официалните гости</w:t>
      </w:r>
      <w:r w:rsidRPr="00B81314">
        <w:rPr>
          <w:rFonts w:ascii="Times New Roman" w:eastAsia="Times New Roman" w:hAnsi="Times New Roman" w:cs="Times New Roman"/>
          <w:sz w:val="24"/>
        </w:rPr>
        <w:t>, който следва да се одобри от Възложителя;</w:t>
      </w:r>
    </w:p>
    <w:p w:rsidR="00B81314" w:rsidRPr="00B81314" w:rsidRDefault="00B81314" w:rsidP="00B81314">
      <w:pPr>
        <w:pStyle w:val="a7"/>
        <w:widowControl w:val="0"/>
        <w:numPr>
          <w:ilvl w:val="0"/>
          <w:numId w:val="30"/>
        </w:numPr>
        <w:tabs>
          <w:tab w:val="left" w:pos="1061"/>
        </w:tabs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B81314">
        <w:rPr>
          <w:rFonts w:ascii="Times New Roman" w:eastAsia="Times New Roman" w:hAnsi="Times New Roman" w:cs="Times New Roman"/>
          <w:sz w:val="24"/>
        </w:rPr>
        <w:t>Да изработи и изпрати покани до всички лица, включени в утвърдениясписък;</w:t>
      </w:r>
    </w:p>
    <w:p w:rsidR="00B81314" w:rsidRPr="00B81314" w:rsidRDefault="00B81314" w:rsidP="00B81314">
      <w:pPr>
        <w:pStyle w:val="a7"/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  <w:sz w:val="24"/>
        </w:rPr>
      </w:pPr>
      <w:r w:rsidRPr="00B81314">
        <w:rPr>
          <w:rFonts w:ascii="Times New Roman" w:eastAsia="Times New Roman" w:hAnsi="Times New Roman" w:cs="Times New Roman"/>
          <w:sz w:val="24"/>
        </w:rPr>
        <w:t xml:space="preserve">Да бъде осигурено медийно присъствие и отразяване на събитията. </w:t>
      </w:r>
      <w:r>
        <w:rPr>
          <w:rFonts w:ascii="Times New Roman" w:eastAsia="Times New Roman" w:hAnsi="Times New Roman" w:cs="Times New Roman"/>
          <w:sz w:val="24"/>
        </w:rPr>
        <w:t>Да бъде и</w:t>
      </w:r>
      <w:r w:rsidRPr="00B81314">
        <w:rPr>
          <w:rFonts w:ascii="Times New Roman" w:eastAsia="Times New Roman" w:hAnsi="Times New Roman" w:cs="Times New Roman"/>
          <w:sz w:val="24"/>
        </w:rPr>
        <w:t>звършен последващ медиен мониторинг за отразяване на събитията;</w:t>
      </w:r>
    </w:p>
    <w:p w:rsidR="00B81314" w:rsidRPr="00B81314" w:rsidRDefault="00B81314" w:rsidP="00B81314">
      <w:pPr>
        <w:pStyle w:val="a7"/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  <w:sz w:val="24"/>
        </w:rPr>
      </w:pPr>
      <w:r w:rsidRPr="00B81314">
        <w:rPr>
          <w:rFonts w:ascii="Times New Roman" w:eastAsia="Times New Roman" w:hAnsi="Times New Roman" w:cs="Times New Roman"/>
          <w:sz w:val="24"/>
        </w:rPr>
        <w:t>Подготовка на терена, където ще се проведе изнесената церемония по  стартиране на строителството „Първа копка“ (материално-техническо и логистично обезпечаване на събитието - озвучаване, знамена, питка, мед,  лента, ножици, присъствени списъци и регистрация на участниците);</w:t>
      </w:r>
    </w:p>
    <w:p w:rsidR="00B81314" w:rsidRPr="006C11C3" w:rsidRDefault="00B81314" w:rsidP="00B81314">
      <w:pPr>
        <w:pStyle w:val="a7"/>
        <w:numPr>
          <w:ilvl w:val="0"/>
          <w:numId w:val="30"/>
        </w:numPr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</w:rPr>
        <w:t>Водещ на церемонията;</w:t>
      </w:r>
    </w:p>
    <w:p w:rsidR="00B81314" w:rsidRPr="006C11C3" w:rsidRDefault="00B81314" w:rsidP="00B81314">
      <w:pPr>
        <w:pStyle w:val="a7"/>
        <w:widowControl w:val="0"/>
        <w:numPr>
          <w:ilvl w:val="0"/>
          <w:numId w:val="30"/>
        </w:numPr>
        <w:tabs>
          <w:tab w:val="left" w:pos="1652"/>
        </w:tabs>
        <w:autoSpaceDE w:val="0"/>
        <w:autoSpaceDN w:val="0"/>
        <w:spacing w:before="1" w:after="0" w:line="293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C11C3">
        <w:rPr>
          <w:rFonts w:ascii="Times New Roman" w:eastAsia="Times New Roman" w:hAnsi="Times New Roman" w:cs="Times New Roman"/>
          <w:sz w:val="24"/>
          <w:lang w:val="en-US"/>
        </w:rPr>
        <w:t xml:space="preserve">Да предостави кетъринг обслужване за церемонията за 50 човека. Кетърингът следва да включва: </w:t>
      </w:r>
      <w:r w:rsidRPr="006C11C3">
        <w:rPr>
          <w:rFonts w:ascii="Times New Roman" w:eastAsia="Times New Roman" w:hAnsi="Times New Roman" w:cs="Times New Roman"/>
          <w:sz w:val="24"/>
          <w:szCs w:val="24"/>
          <w:lang w:eastAsia="fr-FR"/>
        </w:rPr>
        <w:t>коктейл тип шведска маса, включително ос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игуряване на прибори и обслужващ</w:t>
      </w:r>
      <w:r w:rsidRPr="006C11C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персонал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B81314" w:rsidRPr="006C11C3" w:rsidRDefault="00B81314" w:rsidP="00B81314">
      <w:pPr>
        <w:pStyle w:val="a7"/>
        <w:widowControl w:val="0"/>
        <w:numPr>
          <w:ilvl w:val="0"/>
          <w:numId w:val="30"/>
        </w:numPr>
        <w:tabs>
          <w:tab w:val="left" w:pos="1061"/>
        </w:tabs>
        <w:autoSpaceDE w:val="0"/>
        <w:autoSpaceDN w:val="0"/>
        <w:spacing w:before="2" w:after="0" w:line="240" w:lineRule="auto"/>
        <w:ind w:right="338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6C11C3">
        <w:rPr>
          <w:rFonts w:ascii="Times New Roman" w:eastAsia="Times New Roman" w:hAnsi="Times New Roman" w:cs="Times New Roman"/>
          <w:sz w:val="24"/>
          <w:lang w:val="en-US"/>
        </w:rPr>
        <w:t>Да извърши фотозаснемане;</w:t>
      </w:r>
    </w:p>
    <w:p w:rsidR="00B81314" w:rsidRPr="00871F26" w:rsidRDefault="00B81314" w:rsidP="00B81314">
      <w:pPr>
        <w:pStyle w:val="a7"/>
        <w:widowControl w:val="0"/>
        <w:numPr>
          <w:ilvl w:val="0"/>
          <w:numId w:val="30"/>
        </w:numPr>
        <w:tabs>
          <w:tab w:val="left" w:pos="1061"/>
        </w:tabs>
        <w:autoSpaceDE w:val="0"/>
        <w:autoSpaceDN w:val="0"/>
        <w:spacing w:before="5" w:after="0" w:line="237" w:lineRule="auto"/>
        <w:ind w:right="341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871F26">
        <w:rPr>
          <w:rFonts w:ascii="Times New Roman" w:eastAsia="Times New Roman" w:hAnsi="Times New Roman" w:cs="Times New Roman"/>
          <w:sz w:val="24"/>
          <w:lang w:val="en-US"/>
        </w:rPr>
        <w:t>След приключването на церемониите да изготви и разпространи прессъобщение, в което резюмирано да се представи информация запроекта;</w:t>
      </w:r>
    </w:p>
    <w:p w:rsidR="00B81314" w:rsidRDefault="00B81314" w:rsidP="00B81314">
      <w:pPr>
        <w:pStyle w:val="a7"/>
        <w:widowControl w:val="0"/>
        <w:numPr>
          <w:ilvl w:val="0"/>
          <w:numId w:val="30"/>
        </w:numPr>
        <w:tabs>
          <w:tab w:val="left" w:pos="1061"/>
        </w:tabs>
        <w:autoSpaceDE w:val="0"/>
        <w:autoSpaceDN w:val="0"/>
        <w:spacing w:before="120" w:after="120" w:line="276" w:lineRule="auto"/>
        <w:ind w:right="340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871F26">
        <w:rPr>
          <w:rFonts w:ascii="Times New Roman" w:eastAsia="Times New Roman" w:hAnsi="Times New Roman" w:cs="Times New Roman"/>
          <w:sz w:val="24"/>
          <w:lang w:val="en-US"/>
        </w:rPr>
        <w:t>Да архивира и предостави на хартиен и електронен носител доказателства за проведените събития (снимки, видео, статии, присъствени списъци идр.);</w:t>
      </w:r>
    </w:p>
    <w:p w:rsidR="00B81314" w:rsidRPr="00871F26" w:rsidRDefault="00B81314" w:rsidP="00B81314">
      <w:pPr>
        <w:pStyle w:val="a7"/>
        <w:widowControl w:val="0"/>
        <w:tabs>
          <w:tab w:val="left" w:pos="1061"/>
        </w:tabs>
        <w:autoSpaceDE w:val="0"/>
        <w:autoSpaceDN w:val="0"/>
        <w:spacing w:before="120" w:after="120" w:line="276" w:lineRule="auto"/>
        <w:ind w:right="340"/>
        <w:jc w:val="both"/>
        <w:rPr>
          <w:rFonts w:ascii="Times New Roman" w:eastAsia="Times New Roman" w:hAnsi="Times New Roman" w:cs="Times New Roman"/>
          <w:sz w:val="24"/>
          <w:lang w:val="en-US"/>
        </w:rPr>
      </w:pPr>
    </w:p>
    <w:p w:rsidR="00B81314" w:rsidRPr="006C11C3" w:rsidRDefault="00B81314" w:rsidP="00387542">
      <w:pPr>
        <w:pStyle w:val="a7"/>
        <w:numPr>
          <w:ilvl w:val="0"/>
          <w:numId w:val="39"/>
        </w:numPr>
        <w:tabs>
          <w:tab w:val="left" w:pos="9069"/>
        </w:tabs>
        <w:suppressAutoHyphens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11C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Организиране и провеждане на официална церемон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ия/събитие "Откриване на обекта</w:t>
      </w:r>
      <w:r w:rsidRPr="006C11C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“</w:t>
      </w:r>
    </w:p>
    <w:p w:rsidR="00B81314" w:rsidRPr="006B6C7F" w:rsidRDefault="00B81314" w:rsidP="00B813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Церемонията</w:t>
      </w:r>
      <w:r w:rsidRPr="006B6C7F">
        <w:rPr>
          <w:rFonts w:ascii="Times New Roman" w:hAnsi="Times New Roman" w:cs="Times New Roman"/>
          <w:sz w:val="24"/>
          <w:szCs w:val="24"/>
        </w:rPr>
        <w:t xml:space="preserve"> маркират края на строителните дейности и въвеждане в експлоатация на обекта, </w:t>
      </w:r>
      <w:r w:rsidRPr="006B6C7F">
        <w:rPr>
          <w:rFonts w:ascii="Times New Roman" w:hAnsi="Times New Roman" w:cs="Times New Roman"/>
          <w:sz w:val="24"/>
          <w:szCs w:val="24"/>
        </w:rPr>
        <w:lastRenderedPageBreak/>
        <w:t>предмет на интервенция по проекта.</w:t>
      </w:r>
    </w:p>
    <w:p w:rsidR="00B81314" w:rsidRDefault="00B81314" w:rsidP="00B81314">
      <w:pPr>
        <w:pStyle w:val="a7"/>
        <w:suppressAutoHyphens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Церемонията следва да бъде проведена</w:t>
      </w:r>
      <w:r w:rsidRPr="006B6C7F">
        <w:rPr>
          <w:rFonts w:ascii="Times New Roman" w:hAnsi="Times New Roman" w:cs="Times New Roman"/>
          <w:sz w:val="24"/>
          <w:szCs w:val="24"/>
        </w:rPr>
        <w:t xml:space="preserve"> при спазване изискванията на т. 3.6 от Единен наръчник на бенефициента за прилагане на правилата за информация и комуникация 2014-2020 г.</w:t>
      </w:r>
      <w:r w:rsidRPr="003079D8">
        <w:rPr>
          <w:rFonts w:ascii="Times New Roman" w:eastAsia="Times New Roman" w:hAnsi="Times New Roman" w:cs="Times New Roman"/>
          <w:sz w:val="24"/>
        </w:rPr>
        <w:t xml:space="preserve"> Точната дата и място на събитието ще бъде посочена от Възложителя минимум </w:t>
      </w:r>
      <w:r>
        <w:rPr>
          <w:rFonts w:ascii="Times New Roman" w:eastAsia="Times New Roman" w:hAnsi="Times New Roman" w:cs="Times New Roman"/>
          <w:sz w:val="24"/>
        </w:rPr>
        <w:t>20</w:t>
      </w:r>
      <w:r w:rsidRPr="003079D8">
        <w:rPr>
          <w:rFonts w:ascii="Times New Roman" w:eastAsia="Times New Roman" w:hAnsi="Times New Roman" w:cs="Times New Roman"/>
          <w:sz w:val="24"/>
        </w:rPr>
        <w:t xml:space="preserve"> (</w:t>
      </w:r>
      <w:r>
        <w:rPr>
          <w:rFonts w:ascii="Times New Roman" w:eastAsia="Times New Roman" w:hAnsi="Times New Roman" w:cs="Times New Roman"/>
          <w:sz w:val="24"/>
        </w:rPr>
        <w:t>двадесет</w:t>
      </w:r>
      <w:r w:rsidRPr="003079D8">
        <w:rPr>
          <w:rFonts w:ascii="Times New Roman" w:eastAsia="Times New Roman" w:hAnsi="Times New Roman" w:cs="Times New Roman"/>
          <w:sz w:val="24"/>
        </w:rPr>
        <w:t>) днипредварително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B81314" w:rsidRDefault="00B81314" w:rsidP="00B81314">
      <w:pPr>
        <w:widowControl w:val="0"/>
        <w:tabs>
          <w:tab w:val="left" w:pos="1061"/>
        </w:tabs>
        <w:autoSpaceDE w:val="0"/>
        <w:autoSpaceDN w:val="0"/>
        <w:spacing w:after="0" w:line="293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871F26">
        <w:rPr>
          <w:rFonts w:ascii="Times New Roman" w:eastAsia="Times New Roman" w:hAnsi="Times New Roman" w:cs="Times New Roman"/>
          <w:sz w:val="24"/>
          <w:szCs w:val="24"/>
        </w:rPr>
        <w:t>Дейността включва организация и провеждане в следния минимален обхват:</w:t>
      </w:r>
    </w:p>
    <w:p w:rsidR="00B81314" w:rsidRPr="003079D8" w:rsidRDefault="00B81314" w:rsidP="00B81314">
      <w:pPr>
        <w:pStyle w:val="a7"/>
        <w:widowControl w:val="0"/>
        <w:numPr>
          <w:ilvl w:val="0"/>
          <w:numId w:val="31"/>
        </w:numPr>
        <w:tabs>
          <w:tab w:val="left" w:pos="1061"/>
        </w:tabs>
        <w:autoSpaceDE w:val="0"/>
        <w:autoSpaceDN w:val="0"/>
        <w:spacing w:before="2" w:after="0" w:line="293" w:lineRule="exact"/>
        <w:jc w:val="both"/>
        <w:rPr>
          <w:rFonts w:ascii="Times New Roman" w:eastAsia="Times New Roman" w:hAnsi="Times New Roman" w:cs="Times New Roman"/>
          <w:sz w:val="24"/>
        </w:rPr>
      </w:pPr>
      <w:r w:rsidRPr="003079D8">
        <w:rPr>
          <w:rFonts w:ascii="Times New Roman" w:eastAsia="Times New Roman" w:hAnsi="Times New Roman" w:cs="Times New Roman"/>
          <w:sz w:val="24"/>
        </w:rPr>
        <w:t xml:space="preserve">Да </w:t>
      </w:r>
      <w:r>
        <w:rPr>
          <w:rFonts w:ascii="Times New Roman" w:eastAsia="Times New Roman" w:hAnsi="Times New Roman" w:cs="Times New Roman"/>
          <w:sz w:val="24"/>
        </w:rPr>
        <w:t xml:space="preserve">бъде </w:t>
      </w:r>
      <w:r w:rsidRPr="003079D8">
        <w:rPr>
          <w:rFonts w:ascii="Times New Roman" w:eastAsia="Times New Roman" w:hAnsi="Times New Roman" w:cs="Times New Roman"/>
          <w:sz w:val="24"/>
        </w:rPr>
        <w:t>изготве</w:t>
      </w:r>
      <w:r>
        <w:rPr>
          <w:rFonts w:ascii="Times New Roman" w:eastAsia="Times New Roman" w:hAnsi="Times New Roman" w:cs="Times New Roman"/>
          <w:sz w:val="24"/>
        </w:rPr>
        <w:t>на</w:t>
      </w:r>
      <w:r w:rsidRPr="003079D8">
        <w:rPr>
          <w:rFonts w:ascii="Times New Roman" w:eastAsia="Times New Roman" w:hAnsi="Times New Roman" w:cs="Times New Roman"/>
          <w:sz w:val="24"/>
        </w:rPr>
        <w:t xml:space="preserve"> програма насъбитието;</w:t>
      </w:r>
    </w:p>
    <w:p w:rsidR="00B81314" w:rsidRPr="003079D8" w:rsidRDefault="00B81314" w:rsidP="00B81314">
      <w:pPr>
        <w:pStyle w:val="a7"/>
        <w:widowControl w:val="0"/>
        <w:numPr>
          <w:ilvl w:val="0"/>
          <w:numId w:val="31"/>
        </w:numPr>
        <w:tabs>
          <w:tab w:val="left" w:pos="1061"/>
        </w:tabs>
        <w:autoSpaceDE w:val="0"/>
        <w:autoSpaceDN w:val="0"/>
        <w:spacing w:before="2" w:after="0" w:line="293" w:lineRule="exact"/>
        <w:jc w:val="both"/>
        <w:rPr>
          <w:rFonts w:ascii="Times New Roman" w:eastAsia="Times New Roman" w:hAnsi="Times New Roman" w:cs="Times New Roman"/>
          <w:sz w:val="24"/>
        </w:rPr>
      </w:pPr>
      <w:r w:rsidRPr="003079D8">
        <w:rPr>
          <w:rFonts w:ascii="Times New Roman" w:eastAsia="Times New Roman" w:hAnsi="Times New Roman" w:cs="Times New Roman"/>
          <w:sz w:val="24"/>
        </w:rPr>
        <w:t>Да бъде предварително анонсирана по подходящ начин, чрез разпространение на прессъобщение до средствата за масово осведомяване и/или публикуване на рекламно-информационно съобщение в регионална</w:t>
      </w:r>
      <w:r>
        <w:rPr>
          <w:rFonts w:ascii="Times New Roman" w:eastAsia="Times New Roman" w:hAnsi="Times New Roman" w:cs="Times New Roman"/>
          <w:sz w:val="24"/>
        </w:rPr>
        <w:t>/и</w:t>
      </w:r>
      <w:r w:rsidRPr="003079D8">
        <w:rPr>
          <w:rFonts w:ascii="Times New Roman" w:eastAsia="Times New Roman" w:hAnsi="Times New Roman" w:cs="Times New Roman"/>
          <w:sz w:val="24"/>
        </w:rPr>
        <w:t xml:space="preserve"> медия</w:t>
      </w:r>
      <w:r>
        <w:rPr>
          <w:rFonts w:ascii="Times New Roman" w:eastAsia="Times New Roman" w:hAnsi="Times New Roman" w:cs="Times New Roman"/>
          <w:sz w:val="24"/>
        </w:rPr>
        <w:t xml:space="preserve"> (</w:t>
      </w:r>
      <w:r w:rsidRPr="003079D8">
        <w:rPr>
          <w:rFonts w:ascii="Times New Roman" w:eastAsia="Times New Roman" w:hAnsi="Times New Roman" w:cs="Times New Roman"/>
          <w:sz w:val="24"/>
        </w:rPr>
        <w:t>в т.ч предварителна информация да се публикува на интернет страниците на</w:t>
      </w:r>
      <w:r>
        <w:rPr>
          <w:rFonts w:ascii="Times New Roman" w:eastAsia="Times New Roman" w:hAnsi="Times New Roman" w:cs="Times New Roman"/>
          <w:sz w:val="24"/>
        </w:rPr>
        <w:t xml:space="preserve"> трите общини)</w:t>
      </w:r>
      <w:r w:rsidRPr="003079D8">
        <w:rPr>
          <w:rFonts w:ascii="Times New Roman" w:eastAsia="Times New Roman" w:hAnsi="Times New Roman" w:cs="Times New Roman"/>
          <w:sz w:val="24"/>
        </w:rPr>
        <w:t xml:space="preserve">. </w:t>
      </w:r>
    </w:p>
    <w:p w:rsidR="00B81314" w:rsidRPr="00B81314" w:rsidRDefault="00B81314" w:rsidP="00B81314">
      <w:pPr>
        <w:pStyle w:val="a7"/>
        <w:widowControl w:val="0"/>
        <w:numPr>
          <w:ilvl w:val="0"/>
          <w:numId w:val="31"/>
        </w:numPr>
        <w:tabs>
          <w:tab w:val="left" w:pos="1061"/>
        </w:tabs>
        <w:autoSpaceDE w:val="0"/>
        <w:autoSpaceDN w:val="0"/>
        <w:spacing w:before="2" w:after="0" w:line="293" w:lineRule="exact"/>
        <w:jc w:val="both"/>
        <w:rPr>
          <w:rFonts w:ascii="Times New Roman" w:eastAsia="Times New Roman" w:hAnsi="Times New Roman" w:cs="Times New Roman"/>
          <w:sz w:val="24"/>
        </w:rPr>
      </w:pPr>
      <w:r w:rsidRPr="00B81314">
        <w:rPr>
          <w:rFonts w:ascii="Times New Roman" w:eastAsia="Times New Roman" w:hAnsi="Times New Roman" w:cs="Times New Roman"/>
          <w:sz w:val="24"/>
        </w:rPr>
        <w:t xml:space="preserve">Да бъде изпратена предварителна информация и датата на провеждане на </w:t>
      </w:r>
      <w:r>
        <w:rPr>
          <w:rFonts w:ascii="Times New Roman" w:eastAsia="Times New Roman" w:hAnsi="Times New Roman" w:cs="Times New Roman"/>
          <w:sz w:val="24"/>
        </w:rPr>
        <w:t>церемонията</w:t>
      </w:r>
      <w:r w:rsidRPr="00B81314">
        <w:rPr>
          <w:rFonts w:ascii="Times New Roman" w:eastAsia="Times New Roman" w:hAnsi="Times New Roman" w:cs="Times New Roman"/>
          <w:sz w:val="24"/>
        </w:rPr>
        <w:t xml:space="preserve"> до Управляващия орган на ОП „Околна среда 2014-2020 г.“ и до ОИЦ – </w:t>
      </w:r>
      <w:r>
        <w:rPr>
          <w:rFonts w:ascii="Times New Roman" w:eastAsia="Times New Roman" w:hAnsi="Times New Roman" w:cs="Times New Roman"/>
          <w:sz w:val="24"/>
        </w:rPr>
        <w:t>Смолян</w:t>
      </w:r>
      <w:r w:rsidRPr="00B81314">
        <w:rPr>
          <w:rFonts w:ascii="Times New Roman" w:eastAsia="Times New Roman" w:hAnsi="Times New Roman" w:cs="Times New Roman"/>
          <w:sz w:val="24"/>
        </w:rPr>
        <w:t xml:space="preserve">. </w:t>
      </w:r>
    </w:p>
    <w:p w:rsidR="00B81314" w:rsidRPr="00B81314" w:rsidRDefault="00B81314" w:rsidP="00B81314">
      <w:pPr>
        <w:pStyle w:val="a7"/>
        <w:widowControl w:val="0"/>
        <w:numPr>
          <w:ilvl w:val="0"/>
          <w:numId w:val="30"/>
        </w:numPr>
        <w:tabs>
          <w:tab w:val="left" w:pos="1061"/>
        </w:tabs>
        <w:autoSpaceDE w:val="0"/>
        <w:autoSpaceDN w:val="0"/>
        <w:spacing w:before="2" w:after="0" w:line="237" w:lineRule="auto"/>
        <w:ind w:right="339"/>
        <w:jc w:val="both"/>
        <w:rPr>
          <w:rFonts w:ascii="Times New Roman" w:eastAsia="Times New Roman" w:hAnsi="Times New Roman" w:cs="Times New Roman"/>
          <w:sz w:val="24"/>
        </w:rPr>
      </w:pPr>
      <w:r w:rsidRPr="00B81314">
        <w:rPr>
          <w:rFonts w:ascii="Times New Roman" w:eastAsia="Times New Roman" w:hAnsi="Times New Roman" w:cs="Times New Roman"/>
          <w:sz w:val="24"/>
        </w:rPr>
        <w:t xml:space="preserve">Да </w:t>
      </w:r>
      <w:r>
        <w:rPr>
          <w:rFonts w:ascii="Times New Roman" w:eastAsia="Times New Roman" w:hAnsi="Times New Roman" w:cs="Times New Roman"/>
          <w:sz w:val="24"/>
        </w:rPr>
        <w:t xml:space="preserve">се </w:t>
      </w:r>
      <w:r w:rsidRPr="00B81314">
        <w:rPr>
          <w:rFonts w:ascii="Times New Roman" w:eastAsia="Times New Roman" w:hAnsi="Times New Roman" w:cs="Times New Roman"/>
          <w:sz w:val="24"/>
        </w:rPr>
        <w:t xml:space="preserve">състави списък с </w:t>
      </w:r>
      <w:r>
        <w:rPr>
          <w:rFonts w:ascii="Times New Roman" w:eastAsia="Times New Roman" w:hAnsi="Times New Roman" w:cs="Times New Roman"/>
          <w:sz w:val="24"/>
        </w:rPr>
        <w:t>официалните гости</w:t>
      </w:r>
      <w:r w:rsidRPr="00B81314">
        <w:rPr>
          <w:rFonts w:ascii="Times New Roman" w:eastAsia="Times New Roman" w:hAnsi="Times New Roman" w:cs="Times New Roman"/>
          <w:sz w:val="24"/>
        </w:rPr>
        <w:t>, който следва да се одобри от Възложителя;</w:t>
      </w:r>
    </w:p>
    <w:p w:rsidR="00B81314" w:rsidRPr="00B81314" w:rsidRDefault="00B81314" w:rsidP="00B81314">
      <w:pPr>
        <w:pStyle w:val="a7"/>
        <w:widowControl w:val="0"/>
        <w:numPr>
          <w:ilvl w:val="0"/>
          <w:numId w:val="30"/>
        </w:numPr>
        <w:tabs>
          <w:tab w:val="left" w:pos="1061"/>
        </w:tabs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B81314">
        <w:rPr>
          <w:rFonts w:ascii="Times New Roman" w:eastAsia="Times New Roman" w:hAnsi="Times New Roman" w:cs="Times New Roman"/>
          <w:sz w:val="24"/>
        </w:rPr>
        <w:t>Да изработи и изпрати покани до всички лица, включени в утвърдениясписък;</w:t>
      </w:r>
    </w:p>
    <w:p w:rsidR="00B81314" w:rsidRPr="00B81314" w:rsidRDefault="00B81314" w:rsidP="00B81314">
      <w:pPr>
        <w:pStyle w:val="a7"/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  <w:sz w:val="24"/>
        </w:rPr>
      </w:pPr>
      <w:r w:rsidRPr="00B81314">
        <w:rPr>
          <w:rFonts w:ascii="Times New Roman" w:eastAsia="Times New Roman" w:hAnsi="Times New Roman" w:cs="Times New Roman"/>
          <w:sz w:val="24"/>
        </w:rPr>
        <w:t>Да бъде осигурено медийно присъствие и отразяване на събитията. Извършен последващ медиен мониторинг за отразяване на събитията;</w:t>
      </w:r>
    </w:p>
    <w:p w:rsidR="00B81314" w:rsidRPr="00B81314" w:rsidRDefault="00B81314" w:rsidP="00B81314">
      <w:pPr>
        <w:pStyle w:val="a7"/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  <w:sz w:val="24"/>
        </w:rPr>
      </w:pPr>
      <w:r w:rsidRPr="00B81314">
        <w:rPr>
          <w:rFonts w:ascii="Times New Roman" w:eastAsia="Times New Roman" w:hAnsi="Times New Roman" w:cs="Times New Roman"/>
          <w:sz w:val="24"/>
        </w:rPr>
        <w:t xml:space="preserve">Подготовка на терена, където ще се проведе изнесената церемония по  </w:t>
      </w:r>
      <w:r>
        <w:rPr>
          <w:rFonts w:ascii="Times New Roman" w:eastAsia="Times New Roman" w:hAnsi="Times New Roman" w:cs="Times New Roman"/>
          <w:sz w:val="24"/>
        </w:rPr>
        <w:t xml:space="preserve">откриване </w:t>
      </w:r>
      <w:r w:rsidRPr="00B81314">
        <w:rPr>
          <w:rFonts w:ascii="Times New Roman" w:eastAsia="Times New Roman" w:hAnsi="Times New Roman" w:cs="Times New Roman"/>
          <w:sz w:val="24"/>
        </w:rPr>
        <w:t xml:space="preserve"> на </w:t>
      </w:r>
      <w:r>
        <w:rPr>
          <w:rFonts w:ascii="Times New Roman" w:eastAsia="Times New Roman" w:hAnsi="Times New Roman" w:cs="Times New Roman"/>
          <w:sz w:val="24"/>
        </w:rPr>
        <w:t>обекта</w:t>
      </w:r>
      <w:r w:rsidRPr="00B81314">
        <w:rPr>
          <w:rFonts w:ascii="Times New Roman" w:eastAsia="Times New Roman" w:hAnsi="Times New Roman" w:cs="Times New Roman"/>
          <w:sz w:val="24"/>
        </w:rPr>
        <w:t xml:space="preserve"> (материално-техническо и логистично обезпечаване на събитието - озвучаване, знамена, питка, мед, лента, ножици, присъствени списъци и регистрация на участниците);</w:t>
      </w:r>
    </w:p>
    <w:p w:rsidR="00B81314" w:rsidRPr="006C11C3" w:rsidRDefault="00B81314" w:rsidP="00B81314">
      <w:pPr>
        <w:pStyle w:val="a7"/>
        <w:numPr>
          <w:ilvl w:val="0"/>
          <w:numId w:val="30"/>
        </w:numPr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</w:rPr>
        <w:t>Водещ на церемонията;</w:t>
      </w:r>
    </w:p>
    <w:p w:rsidR="00B81314" w:rsidRPr="006C11C3" w:rsidRDefault="00B81314" w:rsidP="00B81314">
      <w:pPr>
        <w:pStyle w:val="a7"/>
        <w:widowControl w:val="0"/>
        <w:numPr>
          <w:ilvl w:val="0"/>
          <w:numId w:val="30"/>
        </w:numPr>
        <w:tabs>
          <w:tab w:val="left" w:pos="1652"/>
        </w:tabs>
        <w:autoSpaceDE w:val="0"/>
        <w:autoSpaceDN w:val="0"/>
        <w:spacing w:before="1" w:after="0" w:line="293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C11C3">
        <w:rPr>
          <w:rFonts w:ascii="Times New Roman" w:eastAsia="Times New Roman" w:hAnsi="Times New Roman" w:cs="Times New Roman"/>
          <w:sz w:val="24"/>
          <w:lang w:val="en-US"/>
        </w:rPr>
        <w:t xml:space="preserve">Да предостави кетъринг обслужване за церемонията за 50 човека. Кетърингът следва да включва: </w:t>
      </w:r>
      <w:r w:rsidRPr="006C11C3">
        <w:rPr>
          <w:rFonts w:ascii="Times New Roman" w:eastAsia="Times New Roman" w:hAnsi="Times New Roman" w:cs="Times New Roman"/>
          <w:sz w:val="24"/>
          <w:szCs w:val="24"/>
          <w:lang w:eastAsia="fr-FR"/>
        </w:rPr>
        <w:t>коктейл тип шведска маса, включително ос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игуряване на прибори и обслужващ</w:t>
      </w:r>
      <w:r w:rsidRPr="006C11C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персонал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B81314" w:rsidRPr="006C11C3" w:rsidRDefault="00B81314" w:rsidP="00B81314">
      <w:pPr>
        <w:pStyle w:val="a7"/>
        <w:widowControl w:val="0"/>
        <w:numPr>
          <w:ilvl w:val="0"/>
          <w:numId w:val="30"/>
        </w:numPr>
        <w:tabs>
          <w:tab w:val="left" w:pos="1061"/>
        </w:tabs>
        <w:autoSpaceDE w:val="0"/>
        <w:autoSpaceDN w:val="0"/>
        <w:spacing w:before="2" w:after="0" w:line="240" w:lineRule="auto"/>
        <w:ind w:right="338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6C11C3">
        <w:rPr>
          <w:rFonts w:ascii="Times New Roman" w:eastAsia="Times New Roman" w:hAnsi="Times New Roman" w:cs="Times New Roman"/>
          <w:sz w:val="24"/>
          <w:lang w:val="en-US"/>
        </w:rPr>
        <w:t>Да извърши фотозаснемане;</w:t>
      </w:r>
    </w:p>
    <w:p w:rsidR="00B81314" w:rsidRPr="00871F26" w:rsidRDefault="00B81314" w:rsidP="00B81314">
      <w:pPr>
        <w:pStyle w:val="a7"/>
        <w:widowControl w:val="0"/>
        <w:numPr>
          <w:ilvl w:val="0"/>
          <w:numId w:val="30"/>
        </w:numPr>
        <w:tabs>
          <w:tab w:val="left" w:pos="1061"/>
        </w:tabs>
        <w:autoSpaceDE w:val="0"/>
        <w:autoSpaceDN w:val="0"/>
        <w:spacing w:before="5" w:after="0" w:line="237" w:lineRule="auto"/>
        <w:ind w:right="341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871F26">
        <w:rPr>
          <w:rFonts w:ascii="Times New Roman" w:eastAsia="Times New Roman" w:hAnsi="Times New Roman" w:cs="Times New Roman"/>
          <w:sz w:val="24"/>
          <w:lang w:val="en-US"/>
        </w:rPr>
        <w:t>След приключването на церемониите да изготви и разпространи прессъобщение, в което резюмирано да се представи информация запроекта;</w:t>
      </w:r>
    </w:p>
    <w:p w:rsidR="00B81314" w:rsidRDefault="00B81314" w:rsidP="00B81314">
      <w:pPr>
        <w:pStyle w:val="a7"/>
        <w:widowControl w:val="0"/>
        <w:numPr>
          <w:ilvl w:val="0"/>
          <w:numId w:val="30"/>
        </w:numPr>
        <w:tabs>
          <w:tab w:val="left" w:pos="1061"/>
        </w:tabs>
        <w:autoSpaceDE w:val="0"/>
        <w:autoSpaceDN w:val="0"/>
        <w:spacing w:before="120" w:after="120" w:line="276" w:lineRule="auto"/>
        <w:ind w:right="340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871F26">
        <w:rPr>
          <w:rFonts w:ascii="Times New Roman" w:eastAsia="Times New Roman" w:hAnsi="Times New Roman" w:cs="Times New Roman"/>
          <w:sz w:val="24"/>
          <w:lang w:val="en-US"/>
        </w:rPr>
        <w:t>Да архивира и предостави на хартиен и електронен носител доказателства за проведените събития (снимки, видео, статии, присъствени списъци идр.);</w:t>
      </w:r>
    </w:p>
    <w:p w:rsidR="00B81314" w:rsidRPr="00B1396D" w:rsidRDefault="00B81314" w:rsidP="00387542">
      <w:pPr>
        <w:pStyle w:val="ab"/>
        <w:numPr>
          <w:ilvl w:val="0"/>
          <w:numId w:val="39"/>
        </w:numPr>
        <w:tabs>
          <w:tab w:val="left" w:pos="9214"/>
        </w:tabs>
        <w:ind w:right="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1396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Подготвяне и публикуване в местните медии</w:t>
      </w:r>
      <w:r w:rsidR="00E66528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Pr="00B1396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  публикации, съдържащи информация за напредъка на проекта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– 4 бр.</w:t>
      </w:r>
    </w:p>
    <w:p w:rsidR="00B81314" w:rsidRDefault="00B81314" w:rsidP="00B81314">
      <w:pPr>
        <w:pStyle w:val="ab"/>
        <w:tabs>
          <w:tab w:val="left" w:pos="9214"/>
        </w:tabs>
        <w:spacing w:after="0"/>
        <w:ind w:right="1"/>
        <w:jc w:val="both"/>
        <w:rPr>
          <w:rFonts w:ascii="Times New Roman" w:eastAsia="Times New Roman" w:hAnsi="Times New Roman"/>
          <w:sz w:val="24"/>
          <w:szCs w:val="24"/>
        </w:rPr>
      </w:pPr>
      <w:r w:rsidRPr="00B1396D">
        <w:rPr>
          <w:rFonts w:ascii="Times New Roman" w:eastAsia="Times New Roman" w:hAnsi="Times New Roman"/>
          <w:sz w:val="24"/>
          <w:szCs w:val="24"/>
        </w:rPr>
        <w:t xml:space="preserve">Предвиждат се общо </w:t>
      </w:r>
      <w:r>
        <w:rPr>
          <w:rFonts w:ascii="Times New Roman" w:eastAsia="Times New Roman" w:hAnsi="Times New Roman"/>
          <w:sz w:val="24"/>
          <w:szCs w:val="24"/>
        </w:rPr>
        <w:t>4</w:t>
      </w:r>
      <w:r w:rsidRPr="00B1396D">
        <w:rPr>
          <w:rFonts w:ascii="Times New Roman" w:eastAsia="Times New Roman" w:hAnsi="Times New Roman"/>
          <w:sz w:val="24"/>
          <w:szCs w:val="24"/>
        </w:rPr>
        <w:t xml:space="preserve"> публикации</w:t>
      </w:r>
      <w:r>
        <w:rPr>
          <w:rFonts w:ascii="Times New Roman" w:eastAsia="Times New Roman" w:hAnsi="Times New Roman"/>
          <w:sz w:val="24"/>
          <w:szCs w:val="24"/>
        </w:rPr>
        <w:t>, съдържащи информация за напредъка по проекта</w:t>
      </w:r>
      <w:r w:rsidRPr="00B1396D">
        <w:rPr>
          <w:rFonts w:ascii="Times New Roman" w:eastAsia="Times New Roman" w:hAnsi="Times New Roman"/>
          <w:sz w:val="24"/>
          <w:szCs w:val="24"/>
        </w:rPr>
        <w:t xml:space="preserve"> (минимален размер на карет</w:t>
      </w:r>
      <w:r>
        <w:rPr>
          <w:rFonts w:ascii="Times New Roman" w:eastAsia="Times New Roman" w:hAnsi="Times New Roman"/>
          <w:sz w:val="24"/>
          <w:szCs w:val="24"/>
        </w:rPr>
        <w:t>о 200 см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/>
          <w:sz w:val="24"/>
          <w:szCs w:val="24"/>
        </w:rPr>
        <w:t xml:space="preserve">, пълноцветен печат). </w:t>
      </w:r>
    </w:p>
    <w:p w:rsidR="00B81314" w:rsidRPr="003079D8" w:rsidRDefault="00B81314" w:rsidP="00B81314">
      <w:pPr>
        <w:widowControl w:val="0"/>
        <w:autoSpaceDE w:val="0"/>
        <w:autoSpaceDN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79D8">
        <w:rPr>
          <w:rFonts w:ascii="Times New Roman" w:eastAsia="Times New Roman" w:hAnsi="Times New Roman" w:cs="Times New Roman"/>
          <w:sz w:val="24"/>
          <w:szCs w:val="24"/>
        </w:rPr>
        <w:t>Възложителят предоставя на Изпълнителя изходна информация за публикациите. Съдържанието на всяка публикация (текст, снимков материал и др.), както и медията, в която ще се публикува, се съгласуват предварително с Възложителя. Всяка публикация трябва да съдържа необходимата визуализация, съгласно изискванията на Единен наръчник на бенефициента за прилагане на правилата за информация и комуникация 2014-2020 г., а именно:</w:t>
      </w:r>
    </w:p>
    <w:p w:rsidR="00B81314" w:rsidRPr="00B1396D" w:rsidRDefault="00B81314" w:rsidP="00B81314">
      <w:pPr>
        <w:widowControl w:val="0"/>
        <w:numPr>
          <w:ilvl w:val="0"/>
          <w:numId w:val="33"/>
        </w:numPr>
        <w:tabs>
          <w:tab w:val="left" w:pos="1243"/>
        </w:tabs>
        <w:autoSpaceDE w:val="0"/>
        <w:autoSpaceDN w:val="0"/>
        <w:spacing w:after="0" w:line="276" w:lineRule="auto"/>
        <w:ind w:hanging="361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B1396D">
        <w:rPr>
          <w:rFonts w:ascii="Times New Roman" w:eastAsia="Times New Roman" w:hAnsi="Times New Roman" w:cs="Times New Roman"/>
          <w:sz w:val="24"/>
          <w:lang w:val="en-US"/>
        </w:rPr>
        <w:lastRenderedPageBreak/>
        <w:t>емблемата на ЕС;</w:t>
      </w:r>
    </w:p>
    <w:p w:rsidR="00B81314" w:rsidRPr="00B1396D" w:rsidRDefault="00B81314" w:rsidP="00B81314">
      <w:pPr>
        <w:widowControl w:val="0"/>
        <w:numPr>
          <w:ilvl w:val="0"/>
          <w:numId w:val="33"/>
        </w:numPr>
        <w:tabs>
          <w:tab w:val="left" w:pos="1243"/>
        </w:tabs>
        <w:autoSpaceDE w:val="0"/>
        <w:autoSpaceDN w:val="0"/>
        <w:spacing w:before="3" w:after="0" w:line="276" w:lineRule="auto"/>
        <w:ind w:hanging="361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B1396D">
        <w:rPr>
          <w:rFonts w:ascii="Times New Roman" w:eastAsia="Times New Roman" w:hAnsi="Times New Roman" w:cs="Times New Roman"/>
          <w:sz w:val="24"/>
          <w:lang w:val="en-US"/>
        </w:rPr>
        <w:t>изписването на фразата „Европейскисъюз“;</w:t>
      </w:r>
    </w:p>
    <w:p w:rsidR="00B81314" w:rsidRPr="00B1396D" w:rsidRDefault="00B81314" w:rsidP="00B81314">
      <w:pPr>
        <w:widowControl w:val="0"/>
        <w:numPr>
          <w:ilvl w:val="0"/>
          <w:numId w:val="33"/>
        </w:numPr>
        <w:tabs>
          <w:tab w:val="left" w:pos="1243"/>
        </w:tabs>
        <w:autoSpaceDE w:val="0"/>
        <w:autoSpaceDN w:val="0"/>
        <w:spacing w:after="0" w:line="276" w:lineRule="auto"/>
        <w:ind w:hanging="361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B1396D">
        <w:rPr>
          <w:rFonts w:ascii="Times New Roman" w:eastAsia="Times New Roman" w:hAnsi="Times New Roman" w:cs="Times New Roman"/>
          <w:sz w:val="24"/>
          <w:lang w:val="en-US"/>
        </w:rPr>
        <w:t>наименованието на фонда - „Европейски фонд за регионалноразвитие”;</w:t>
      </w:r>
    </w:p>
    <w:p w:rsidR="00B81314" w:rsidRPr="00B1396D" w:rsidRDefault="00B81314" w:rsidP="00B81314">
      <w:pPr>
        <w:widowControl w:val="0"/>
        <w:numPr>
          <w:ilvl w:val="0"/>
          <w:numId w:val="33"/>
        </w:numPr>
        <w:tabs>
          <w:tab w:val="left" w:pos="1243"/>
        </w:tabs>
        <w:autoSpaceDE w:val="0"/>
        <w:autoSpaceDN w:val="0"/>
        <w:spacing w:before="2" w:after="0" w:line="276" w:lineRule="auto"/>
        <w:ind w:right="712" w:hanging="361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B1396D">
        <w:rPr>
          <w:rFonts w:ascii="Times New Roman" w:eastAsia="Times New Roman" w:hAnsi="Times New Roman" w:cs="Times New Roman"/>
          <w:sz w:val="24"/>
          <w:lang w:val="en-US"/>
        </w:rPr>
        <w:t>общото лого за програмен период 2014-2020 г., със съответното наименование  на финансиращата програма - Оперативна програма „</w:t>
      </w:r>
      <w:r>
        <w:rPr>
          <w:rFonts w:ascii="Times New Roman" w:eastAsia="Times New Roman" w:hAnsi="Times New Roman" w:cs="Times New Roman"/>
          <w:sz w:val="24"/>
        </w:rPr>
        <w:t>Околна среда 2014-2020г</w:t>
      </w:r>
      <w:r w:rsidRPr="00B1396D">
        <w:rPr>
          <w:rFonts w:ascii="Times New Roman" w:eastAsia="Times New Roman" w:hAnsi="Times New Roman" w:cs="Times New Roman"/>
          <w:sz w:val="24"/>
          <w:lang w:val="en-US"/>
        </w:rPr>
        <w:t>“;</w:t>
      </w:r>
    </w:p>
    <w:p w:rsidR="00B81314" w:rsidRDefault="00B81314" w:rsidP="00B81314">
      <w:pPr>
        <w:widowControl w:val="0"/>
        <w:numPr>
          <w:ilvl w:val="0"/>
          <w:numId w:val="33"/>
        </w:numPr>
        <w:tabs>
          <w:tab w:val="left" w:pos="1243"/>
        </w:tabs>
        <w:autoSpaceDE w:val="0"/>
        <w:autoSpaceDN w:val="0"/>
        <w:spacing w:before="2" w:after="0" w:line="276" w:lineRule="auto"/>
        <w:ind w:hanging="361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B1396D">
        <w:rPr>
          <w:rFonts w:ascii="Times New Roman" w:eastAsia="Times New Roman" w:hAnsi="Times New Roman" w:cs="Times New Roman"/>
          <w:sz w:val="24"/>
          <w:lang w:val="en-US"/>
        </w:rPr>
        <w:t>наименованието набенефициента.</w:t>
      </w:r>
    </w:p>
    <w:p w:rsidR="00B81314" w:rsidRPr="00B81314" w:rsidRDefault="00B81314" w:rsidP="00387542">
      <w:pPr>
        <w:pStyle w:val="a7"/>
        <w:numPr>
          <w:ilvl w:val="0"/>
          <w:numId w:val="39"/>
        </w:numPr>
        <w:spacing w:after="0"/>
        <w:jc w:val="both"/>
        <w:rPr>
          <w:b/>
        </w:rPr>
      </w:pPr>
      <w:r w:rsidRPr="00B8131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Изработване и брандиране на химикалки за целите на началната и заключителната пресконференция – 200 бр..</w:t>
      </w:r>
    </w:p>
    <w:p w:rsidR="00B81314" w:rsidRPr="003079D8" w:rsidRDefault="00B81314" w:rsidP="00B81314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0B0647">
        <w:rPr>
          <w:rFonts w:ascii="Times New Roman" w:hAnsi="Times New Roman" w:cs="Times New Roman"/>
          <w:sz w:val="24"/>
          <w:szCs w:val="24"/>
        </w:rPr>
        <w:t>втоматичен, стандартен пълнител, тяло метал, клипс, брандиран в съответствие с т. 3.7. и т. 8.7. на Единен наръчник на бенефициента за прилагане на правилата за информация и комуникация 2014-2020 г.;</w:t>
      </w:r>
      <w:r w:rsidRPr="003079D8">
        <w:rPr>
          <w:rFonts w:ascii="Times New Roman" w:eastAsia="Times New Roman" w:hAnsi="Times New Roman" w:cs="Times New Roman"/>
        </w:rPr>
        <w:t>Дизайнът на химикалките следва да е предварително одобрен и съгласуван от Възложителя.</w:t>
      </w:r>
    </w:p>
    <w:p w:rsidR="00B81314" w:rsidRPr="003C4CF0" w:rsidRDefault="00B81314" w:rsidP="00B8131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CF0">
        <w:rPr>
          <w:rFonts w:ascii="Times New Roman" w:eastAsia="Times New Roman" w:hAnsi="Times New Roman" w:cs="Times New Roman"/>
          <w:sz w:val="24"/>
          <w:szCs w:val="24"/>
        </w:rPr>
        <w:t>На химикалките задължително следва да бъде отбелязано:</w:t>
      </w:r>
    </w:p>
    <w:p w:rsidR="00B81314" w:rsidRPr="003C4CF0" w:rsidRDefault="00B81314" w:rsidP="00B81314">
      <w:pPr>
        <w:pStyle w:val="a7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CF0">
        <w:rPr>
          <w:rFonts w:ascii="Times New Roman" w:eastAsia="Times New Roman" w:hAnsi="Times New Roman" w:cs="Times New Roman"/>
          <w:sz w:val="24"/>
          <w:szCs w:val="24"/>
        </w:rPr>
        <w:t>Емблемата на Европейския съюз</w:t>
      </w:r>
    </w:p>
    <w:p w:rsidR="00B81314" w:rsidRPr="003C4CF0" w:rsidRDefault="00B81314" w:rsidP="00B81314">
      <w:pPr>
        <w:pStyle w:val="a7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CF0">
        <w:rPr>
          <w:rFonts w:ascii="Times New Roman" w:eastAsia="Times New Roman" w:hAnsi="Times New Roman" w:cs="Times New Roman"/>
          <w:sz w:val="24"/>
          <w:szCs w:val="24"/>
        </w:rPr>
        <w:t>Изписване на фразата Европейски съюз</w:t>
      </w:r>
    </w:p>
    <w:p w:rsidR="00B81314" w:rsidRDefault="00B81314" w:rsidP="00B81314">
      <w:pPr>
        <w:pStyle w:val="a7"/>
        <w:numPr>
          <w:ilvl w:val="0"/>
          <w:numId w:val="20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CF0">
        <w:rPr>
          <w:rFonts w:ascii="Times New Roman" w:eastAsia="Times New Roman" w:hAnsi="Times New Roman" w:cs="Times New Roman"/>
          <w:sz w:val="24"/>
          <w:szCs w:val="24"/>
        </w:rPr>
        <w:t>Общото лого за програмен период 2014-2020 г., със наименованието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 w:rsidRPr="003C4CF0">
        <w:rPr>
          <w:rFonts w:ascii="Times New Roman" w:eastAsia="Times New Roman" w:hAnsi="Times New Roman" w:cs="Times New Roman"/>
          <w:sz w:val="24"/>
          <w:szCs w:val="24"/>
        </w:rPr>
        <w:t xml:space="preserve"> финансиращата програма(при технологична възможност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4215C0" w:rsidRPr="004215C0" w:rsidRDefault="004215C0" w:rsidP="00387542">
      <w:pPr>
        <w:pStyle w:val="a7"/>
        <w:numPr>
          <w:ilvl w:val="0"/>
          <w:numId w:val="39"/>
        </w:numPr>
        <w:spacing w:before="120" w:after="0" w:line="276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15C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Изработване и отпечатване на  информационни стикери, за поставяне върху закупената техника и оборудване – 550 бр.</w:t>
      </w:r>
    </w:p>
    <w:p w:rsidR="004215C0" w:rsidRPr="008730E7" w:rsidRDefault="004215C0" w:rsidP="004215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0E7">
        <w:rPr>
          <w:rFonts w:ascii="Times New Roman" w:hAnsi="Times New Roman" w:cs="Times New Roman"/>
          <w:sz w:val="24"/>
          <w:szCs w:val="24"/>
        </w:rPr>
        <w:t>Предвидените информационни стикери ще се поставят на подходящо мяс</w:t>
      </w:r>
      <w:r>
        <w:rPr>
          <w:rFonts w:ascii="Times New Roman" w:hAnsi="Times New Roman" w:cs="Times New Roman"/>
          <w:sz w:val="24"/>
          <w:szCs w:val="24"/>
        </w:rPr>
        <w:t>то на повърхността на закупените</w:t>
      </w:r>
      <w:r w:rsidRPr="008730E7">
        <w:rPr>
          <w:rFonts w:ascii="Times New Roman" w:hAnsi="Times New Roman" w:cs="Times New Roman"/>
          <w:sz w:val="24"/>
          <w:szCs w:val="24"/>
        </w:rPr>
        <w:t xml:space="preserve"> по проекта </w:t>
      </w:r>
      <w:r>
        <w:rPr>
          <w:rFonts w:ascii="Times New Roman" w:hAnsi="Times New Roman" w:cs="Times New Roman"/>
          <w:sz w:val="24"/>
          <w:szCs w:val="24"/>
        </w:rPr>
        <w:t>техника</w:t>
      </w:r>
      <w:r w:rsidRPr="008730E7">
        <w:rPr>
          <w:rFonts w:ascii="Times New Roman" w:hAnsi="Times New Roman" w:cs="Times New Roman"/>
          <w:sz w:val="24"/>
          <w:szCs w:val="24"/>
        </w:rPr>
        <w:t xml:space="preserve"> и оборудване.</w:t>
      </w:r>
      <w:r>
        <w:rPr>
          <w:rFonts w:ascii="Times New Roman" w:hAnsi="Times New Roman" w:cs="Times New Roman"/>
          <w:sz w:val="24"/>
          <w:szCs w:val="24"/>
        </w:rPr>
        <w:t xml:space="preserve"> Те ще удостоверяват това, че закупените активи са придобити с финансовата подкрепа на Оперативна програма „Околна среда 2014-2020 г“, съфинансирана от Европейския фонд за регионално развитие.</w:t>
      </w:r>
      <w:r w:rsidRPr="008730E7">
        <w:rPr>
          <w:rFonts w:ascii="Times New Roman" w:hAnsi="Times New Roman" w:cs="Times New Roman"/>
          <w:sz w:val="24"/>
          <w:szCs w:val="24"/>
        </w:rPr>
        <w:t xml:space="preserve"> Стикерите трябва да съдържат необходимата визуализация, съгласно изискванията на Единен наръчник на бенефициента за прилагане на правилата за информация и комуникация </w:t>
      </w:r>
      <w:r>
        <w:rPr>
          <w:rFonts w:ascii="Times New Roman" w:hAnsi="Times New Roman" w:cs="Times New Roman"/>
          <w:sz w:val="24"/>
          <w:szCs w:val="24"/>
        </w:rPr>
        <w:t>2014-2020 г., т. 3.12. и т. 8.8. Дизайнът на стикерите следва да бъде предварително съгласуван с Възложителя.</w:t>
      </w:r>
    </w:p>
    <w:p w:rsidR="004215C0" w:rsidRDefault="004215C0" w:rsidP="004215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0E7">
        <w:rPr>
          <w:rFonts w:ascii="Times New Roman" w:hAnsi="Times New Roman" w:cs="Times New Roman"/>
          <w:sz w:val="24"/>
          <w:szCs w:val="24"/>
        </w:rPr>
        <w:t xml:space="preserve">На информационните стикери (лепенки) задължително трябва да бъде отбелязан приносът на Европейския съюз и на държавния бюджет и следната текстова и визуална информация: </w:t>
      </w:r>
    </w:p>
    <w:p w:rsidR="004215C0" w:rsidRDefault="004215C0" w:rsidP="004215C0">
      <w:pPr>
        <w:pStyle w:val="a7"/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56D">
        <w:rPr>
          <w:rFonts w:ascii="Times New Roman" w:hAnsi="Times New Roman" w:cs="Times New Roman"/>
          <w:sz w:val="24"/>
          <w:szCs w:val="24"/>
        </w:rPr>
        <w:t xml:space="preserve">емблемата на ЕС; </w:t>
      </w:r>
    </w:p>
    <w:p w:rsidR="004215C0" w:rsidRDefault="004215C0" w:rsidP="004215C0">
      <w:pPr>
        <w:pStyle w:val="a7"/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56D">
        <w:rPr>
          <w:rFonts w:ascii="Times New Roman" w:hAnsi="Times New Roman" w:cs="Times New Roman"/>
          <w:sz w:val="24"/>
          <w:szCs w:val="24"/>
        </w:rPr>
        <w:t xml:space="preserve">упоменаването „Европейски съюз”; </w:t>
      </w:r>
    </w:p>
    <w:p w:rsidR="004215C0" w:rsidRDefault="004215C0" w:rsidP="004215C0">
      <w:pPr>
        <w:pStyle w:val="a7"/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56D">
        <w:rPr>
          <w:rFonts w:ascii="Times New Roman" w:hAnsi="Times New Roman" w:cs="Times New Roman"/>
          <w:sz w:val="24"/>
          <w:szCs w:val="24"/>
        </w:rPr>
        <w:t xml:space="preserve">наименованието на съфинансиращия фонд 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64256D">
        <w:rPr>
          <w:rFonts w:ascii="Times New Roman" w:hAnsi="Times New Roman" w:cs="Times New Roman"/>
          <w:sz w:val="24"/>
          <w:szCs w:val="24"/>
        </w:rPr>
        <w:t>Европей</w:t>
      </w:r>
      <w:r>
        <w:rPr>
          <w:rFonts w:ascii="Times New Roman" w:hAnsi="Times New Roman" w:cs="Times New Roman"/>
          <w:sz w:val="24"/>
          <w:szCs w:val="24"/>
        </w:rPr>
        <w:t>ски фонд за регионално развитие</w:t>
      </w:r>
      <w:r w:rsidRPr="0064256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215C0" w:rsidRPr="0064256D" w:rsidRDefault="004215C0" w:rsidP="004215C0">
      <w:pPr>
        <w:pStyle w:val="a7"/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56D">
        <w:rPr>
          <w:rFonts w:ascii="Times New Roman" w:hAnsi="Times New Roman" w:cs="Times New Roman"/>
          <w:sz w:val="24"/>
          <w:szCs w:val="24"/>
        </w:rPr>
        <w:t>общото лог</w:t>
      </w:r>
      <w:r>
        <w:rPr>
          <w:rFonts w:ascii="Times New Roman" w:hAnsi="Times New Roman" w:cs="Times New Roman"/>
          <w:sz w:val="24"/>
          <w:szCs w:val="24"/>
        </w:rPr>
        <w:t>о за програмен период 2014-2020</w:t>
      </w:r>
      <w:r w:rsidRPr="0064256D">
        <w:rPr>
          <w:rFonts w:ascii="Times New Roman" w:hAnsi="Times New Roman" w:cs="Times New Roman"/>
          <w:sz w:val="24"/>
          <w:szCs w:val="24"/>
        </w:rPr>
        <w:t>г., със съответното наименов</w:t>
      </w:r>
      <w:r>
        <w:rPr>
          <w:rFonts w:ascii="Times New Roman" w:hAnsi="Times New Roman" w:cs="Times New Roman"/>
          <w:sz w:val="24"/>
          <w:szCs w:val="24"/>
        </w:rPr>
        <w:t xml:space="preserve">ание на финансиращата програма  - </w:t>
      </w:r>
      <w:r w:rsidRPr="0064256D">
        <w:rPr>
          <w:rFonts w:ascii="Times New Roman" w:hAnsi="Times New Roman" w:cs="Times New Roman"/>
          <w:sz w:val="24"/>
          <w:szCs w:val="24"/>
        </w:rPr>
        <w:t>Оперативна програма „Околна среда</w:t>
      </w:r>
      <w:r>
        <w:rPr>
          <w:rFonts w:ascii="Times New Roman" w:hAnsi="Times New Roman" w:cs="Times New Roman"/>
          <w:sz w:val="24"/>
          <w:szCs w:val="24"/>
        </w:rPr>
        <w:t xml:space="preserve">” 2014 -2020 </w:t>
      </w:r>
      <w:r w:rsidRPr="0064256D">
        <w:rPr>
          <w:rFonts w:ascii="Times New Roman" w:hAnsi="Times New Roman" w:cs="Times New Roman"/>
          <w:sz w:val="24"/>
          <w:szCs w:val="24"/>
        </w:rPr>
        <w:t xml:space="preserve"> номера на договора за безвъзмездна финансова помощ.</w:t>
      </w:r>
    </w:p>
    <w:p w:rsidR="004215C0" w:rsidRDefault="004215C0" w:rsidP="004215C0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0E7">
        <w:rPr>
          <w:rFonts w:ascii="Times New Roman" w:hAnsi="Times New Roman" w:cs="Times New Roman"/>
          <w:sz w:val="24"/>
          <w:szCs w:val="24"/>
        </w:rPr>
        <w:t xml:space="preserve">Размери на 1 бр. стикер -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730E7">
        <w:rPr>
          <w:rFonts w:ascii="Times New Roman" w:hAnsi="Times New Roman" w:cs="Times New Roman"/>
          <w:sz w:val="24"/>
          <w:szCs w:val="24"/>
        </w:rPr>
        <w:t xml:space="preserve"> см./</w:t>
      </w:r>
      <w:r>
        <w:rPr>
          <w:rFonts w:ascii="Times New Roman" w:hAnsi="Times New Roman" w:cs="Times New Roman"/>
          <w:sz w:val="24"/>
          <w:szCs w:val="24"/>
        </w:rPr>
        <w:t>5 см., самозалепващофолио</w:t>
      </w:r>
      <w:r w:rsidRPr="008730E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подходящо за монтаж и устойчива експлоатация на външни условия, </w:t>
      </w:r>
      <w:r w:rsidRPr="008730E7">
        <w:rPr>
          <w:rFonts w:ascii="Times New Roman" w:hAnsi="Times New Roman" w:cs="Times New Roman"/>
          <w:sz w:val="24"/>
          <w:szCs w:val="24"/>
        </w:rPr>
        <w:t>пълноцветен печат.</w:t>
      </w:r>
    </w:p>
    <w:p w:rsidR="004215C0" w:rsidRDefault="004215C0" w:rsidP="00387542">
      <w:pPr>
        <w:pStyle w:val="a7"/>
        <w:numPr>
          <w:ilvl w:val="0"/>
          <w:numId w:val="39"/>
        </w:numPr>
        <w:spacing w:after="120"/>
        <w:ind w:left="567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7741">
        <w:rPr>
          <w:rFonts w:ascii="Times New Roman" w:hAnsi="Times New Roman" w:cs="Times New Roman"/>
          <w:b/>
          <w:sz w:val="24"/>
          <w:szCs w:val="24"/>
        </w:rPr>
        <w:t>Изработване и поставяне на  билборд</w:t>
      </w:r>
      <w:r>
        <w:rPr>
          <w:rFonts w:ascii="Times New Roman" w:hAnsi="Times New Roman" w:cs="Times New Roman"/>
          <w:b/>
          <w:sz w:val="24"/>
          <w:szCs w:val="24"/>
        </w:rPr>
        <w:t xml:space="preserve"> – 2бр.</w:t>
      </w:r>
    </w:p>
    <w:p w:rsidR="004215C0" w:rsidRPr="003079D8" w:rsidRDefault="004215C0" w:rsidP="004215C0">
      <w:pPr>
        <w:pStyle w:val="ab"/>
        <w:spacing w:line="276" w:lineRule="auto"/>
        <w:ind w:right="-1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Изпълнителят следва да изработи и  монтира 2 билборда на </w:t>
      </w:r>
      <w:r w:rsidRPr="004A7741">
        <w:rPr>
          <w:rFonts w:ascii="Times New Roman" w:hAnsi="Times New Roman" w:cs="Times New Roman"/>
          <w:sz w:val="24"/>
          <w:szCs w:val="24"/>
        </w:rPr>
        <w:t>подходящи места в началото на пътя за достъп към площадкатаи на самата площадка за изграждане на инсталациите</w:t>
      </w:r>
      <w:r>
        <w:rPr>
          <w:rFonts w:ascii="Times New Roman" w:hAnsi="Times New Roman" w:cs="Times New Roman"/>
          <w:sz w:val="24"/>
          <w:szCs w:val="24"/>
        </w:rPr>
        <w:t xml:space="preserve"> за компостиране  на зелени и биоразградими отпадъци и инсталацията за предварително третиране на битови отпадъци. Конкретното място се съгласува с Възложителя. </w:t>
      </w:r>
      <w:r w:rsidRPr="003079D8">
        <w:rPr>
          <w:rFonts w:ascii="Times New Roman" w:eastAsia="Times New Roman" w:hAnsi="Times New Roman" w:cs="Times New Roman"/>
        </w:rPr>
        <w:t xml:space="preserve">Електрическото захранване на осветлението на билборда ще се извърши от клеймореда на най-близкия </w:t>
      </w:r>
      <w:r>
        <w:rPr>
          <w:rFonts w:ascii="Times New Roman" w:eastAsia="Times New Roman" w:hAnsi="Times New Roman" w:cs="Times New Roman"/>
        </w:rPr>
        <w:t xml:space="preserve">осветителен </w:t>
      </w:r>
      <w:r w:rsidRPr="003079D8">
        <w:rPr>
          <w:rFonts w:ascii="Times New Roman" w:eastAsia="Times New Roman" w:hAnsi="Times New Roman" w:cs="Times New Roman"/>
        </w:rPr>
        <w:t>стълб</w:t>
      </w:r>
      <w:r>
        <w:rPr>
          <w:rFonts w:ascii="Times New Roman" w:eastAsia="Times New Roman" w:hAnsi="Times New Roman" w:cs="Times New Roman"/>
        </w:rPr>
        <w:t>.</w:t>
      </w:r>
      <w:r w:rsidRPr="003079D8">
        <w:rPr>
          <w:rFonts w:ascii="Times New Roman" w:eastAsia="Times New Roman" w:hAnsi="Times New Roman" w:cs="Times New Roman"/>
          <w:sz w:val="24"/>
          <w:szCs w:val="24"/>
        </w:rPr>
        <w:t>Билборда следва да бъде осветен по начин, който позволява безпроблемното му и пълноценно възприемане през цялото денонощие и целогодишно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079D8">
        <w:rPr>
          <w:rFonts w:ascii="Times New Roman" w:eastAsia="Times New Roman" w:hAnsi="Times New Roman"/>
          <w:sz w:val="24"/>
          <w:szCs w:val="24"/>
        </w:rPr>
        <w:t>Всички необходими дейности, свързани с изготвянето на проектно-сметна документация за билборда (включително по части "Конструктивна", "Електро" или ако се наложи и други), представянето и одобряването от компетентните за това органи, получаване на разрешение за монтаж или други разрешения или съгласувания, ако и когато това е необходимо и всички други дейности по проектирането, изработването,  монтирането  и  въвеждането  в експлоатация, както и всички свързани с това разходи се извършват от изпълнителя и са за сметка наизпълнителя.Изготвената проектно-сметна документация трябва да бъде в съответствие с всички приложими нормативи.</w:t>
      </w:r>
    </w:p>
    <w:p w:rsidR="004215C0" w:rsidRPr="004215C0" w:rsidRDefault="004215C0" w:rsidP="004215C0">
      <w:pPr>
        <w:widowControl w:val="0"/>
        <w:autoSpaceDE w:val="0"/>
        <w:autoSpaceDN w:val="0"/>
        <w:spacing w:before="1"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15C0">
        <w:rPr>
          <w:rFonts w:ascii="Times New Roman" w:eastAsia="Times New Roman" w:hAnsi="Times New Roman"/>
          <w:sz w:val="24"/>
          <w:szCs w:val="24"/>
        </w:rPr>
        <w:t>Билбордът трябва да съдържа всички задължителни реквизити, регламентирани в Единен наръчник на бенефициента за прилагане на правилата за информация и комуникация 2014-2020 г., т. 3.2 и т. 8.1:</w:t>
      </w:r>
    </w:p>
    <w:p w:rsidR="004215C0" w:rsidRPr="004215C0" w:rsidRDefault="004215C0" w:rsidP="004215C0">
      <w:pPr>
        <w:pStyle w:val="a7"/>
        <w:widowControl w:val="0"/>
        <w:numPr>
          <w:ilvl w:val="0"/>
          <w:numId w:val="21"/>
        </w:numPr>
        <w:autoSpaceDE w:val="0"/>
        <w:autoSpaceDN w:val="0"/>
        <w:spacing w:before="1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5C0">
        <w:rPr>
          <w:rFonts w:ascii="Times New Roman" w:eastAsia="Times New Roman" w:hAnsi="Times New Roman" w:cs="Times New Roman"/>
          <w:sz w:val="24"/>
          <w:szCs w:val="24"/>
        </w:rPr>
        <w:t>емблемата на ЕС и упоменаването „Европейски съюз;</w:t>
      </w:r>
    </w:p>
    <w:p w:rsidR="004215C0" w:rsidRPr="004215C0" w:rsidRDefault="004215C0" w:rsidP="004215C0">
      <w:pPr>
        <w:pStyle w:val="a7"/>
        <w:widowControl w:val="0"/>
        <w:numPr>
          <w:ilvl w:val="0"/>
          <w:numId w:val="21"/>
        </w:numPr>
        <w:autoSpaceDE w:val="0"/>
        <w:autoSpaceDN w:val="0"/>
        <w:spacing w:before="1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5C0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наименованието на </w:t>
      </w:r>
      <w:r>
        <w:rPr>
          <w:rFonts w:ascii="Times New Roman" w:eastAsia="Times New Roman" w:hAnsi="Times New Roman" w:cs="Times New Roman"/>
          <w:sz w:val="24"/>
          <w:szCs w:val="24"/>
        </w:rPr>
        <w:t>съфинансиращия фонд – Европейски фонд за регионално развитие (</w:t>
      </w:r>
      <w:r w:rsidRPr="004215C0">
        <w:rPr>
          <w:rFonts w:ascii="Times New Roman" w:eastAsia="Times New Roman" w:hAnsi="Times New Roman" w:cs="Times New Roman"/>
          <w:sz w:val="24"/>
          <w:szCs w:val="24"/>
        </w:rPr>
        <w:t>ЕФРР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215C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215C0" w:rsidRPr="004215C0" w:rsidRDefault="004215C0" w:rsidP="004215C0">
      <w:pPr>
        <w:pStyle w:val="a7"/>
        <w:widowControl w:val="0"/>
        <w:numPr>
          <w:ilvl w:val="0"/>
          <w:numId w:val="21"/>
        </w:numPr>
        <w:autoSpaceDE w:val="0"/>
        <w:autoSpaceDN w:val="0"/>
        <w:spacing w:before="1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5C0">
        <w:rPr>
          <w:rFonts w:ascii="Times New Roman" w:eastAsia="Times New Roman" w:hAnsi="Times New Roman" w:cs="Times New Roman"/>
          <w:sz w:val="24"/>
          <w:szCs w:val="24"/>
        </w:rPr>
        <w:t>общото лого на програмния период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2014-2020 г</w:t>
      </w:r>
      <w:r w:rsidRPr="004215C0">
        <w:rPr>
          <w:rFonts w:ascii="Times New Roman" w:eastAsia="Times New Roman" w:hAnsi="Times New Roman" w:cs="Times New Roman"/>
          <w:sz w:val="24"/>
          <w:szCs w:val="24"/>
        </w:rPr>
        <w:t xml:space="preserve"> и наименованието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финансиращата</w:t>
      </w:r>
      <w:r w:rsidRPr="004215C0">
        <w:rPr>
          <w:rFonts w:ascii="Times New Roman" w:eastAsia="Times New Roman" w:hAnsi="Times New Roman" w:cs="Times New Roman"/>
          <w:sz w:val="24"/>
          <w:szCs w:val="24"/>
        </w:rPr>
        <w:t xml:space="preserve"> програма</w:t>
      </w:r>
      <w:r>
        <w:rPr>
          <w:rFonts w:ascii="Times New Roman" w:eastAsia="Times New Roman" w:hAnsi="Times New Roman" w:cs="Times New Roman"/>
          <w:sz w:val="24"/>
          <w:szCs w:val="24"/>
        </w:rPr>
        <w:t>(Оперативна програма „Околна среда 2014-2020г“)</w:t>
      </w:r>
      <w:r w:rsidRPr="004215C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215C0" w:rsidRPr="00A304BB" w:rsidRDefault="004215C0" w:rsidP="004215C0">
      <w:pPr>
        <w:pStyle w:val="a7"/>
        <w:widowControl w:val="0"/>
        <w:numPr>
          <w:ilvl w:val="0"/>
          <w:numId w:val="21"/>
        </w:numPr>
        <w:autoSpaceDE w:val="0"/>
        <w:autoSpaceDN w:val="0"/>
        <w:spacing w:before="1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304BB">
        <w:rPr>
          <w:rFonts w:ascii="Times New Roman" w:eastAsia="Times New Roman" w:hAnsi="Times New Roman" w:cs="Times New Roman"/>
          <w:sz w:val="24"/>
          <w:szCs w:val="24"/>
          <w:lang w:val="en-US"/>
        </w:rPr>
        <w:t>наименованието на проекта;</w:t>
      </w:r>
    </w:p>
    <w:p w:rsidR="004215C0" w:rsidRPr="00A304BB" w:rsidRDefault="004215C0" w:rsidP="004215C0">
      <w:pPr>
        <w:pStyle w:val="a7"/>
        <w:widowControl w:val="0"/>
        <w:numPr>
          <w:ilvl w:val="0"/>
          <w:numId w:val="21"/>
        </w:numPr>
        <w:autoSpaceDE w:val="0"/>
        <w:autoSpaceDN w:val="0"/>
        <w:spacing w:before="1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304B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общата стойност на проекта, както и размера на европейското и национално съфинансиране,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както и съфинансирането от бенефициента, </w:t>
      </w:r>
      <w:r w:rsidRPr="00A304BB">
        <w:rPr>
          <w:rFonts w:ascii="Times New Roman" w:eastAsia="Times New Roman" w:hAnsi="Times New Roman" w:cs="Times New Roman"/>
          <w:sz w:val="24"/>
          <w:szCs w:val="24"/>
          <w:lang w:val="en-US"/>
        </w:rPr>
        <w:t>представени в български лева;</w:t>
      </w:r>
    </w:p>
    <w:p w:rsidR="004215C0" w:rsidRPr="00A304BB" w:rsidRDefault="004215C0" w:rsidP="004215C0">
      <w:pPr>
        <w:pStyle w:val="a7"/>
        <w:widowControl w:val="0"/>
        <w:numPr>
          <w:ilvl w:val="0"/>
          <w:numId w:val="21"/>
        </w:numPr>
        <w:autoSpaceDE w:val="0"/>
        <w:autoSpaceDN w:val="0"/>
        <w:spacing w:before="1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304BB">
        <w:rPr>
          <w:rFonts w:ascii="Times New Roman" w:eastAsia="Times New Roman" w:hAnsi="Times New Roman" w:cs="Times New Roman"/>
          <w:sz w:val="24"/>
          <w:szCs w:val="24"/>
          <w:lang w:val="en-US"/>
        </w:rPr>
        <w:t>начална и крайна дата на изпълнение на проекта.</w:t>
      </w:r>
    </w:p>
    <w:p w:rsidR="004215C0" w:rsidRPr="00A304BB" w:rsidRDefault="004215C0" w:rsidP="004215C0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304BB">
        <w:rPr>
          <w:rFonts w:ascii="Times New Roman" w:eastAsia="Times New Roman" w:hAnsi="Times New Roman" w:cs="Times New Roman"/>
          <w:sz w:val="24"/>
          <w:szCs w:val="24"/>
          <w:lang w:val="en-US"/>
        </w:rPr>
        <w:t>Наименованието на проекта и главната цел на дейността, емблемата на ЕС, упоменаването„Европейски съюз“ и наименованието на финансиращия фонд трябва да заемат минимум 25%от площта на билборда.</w:t>
      </w:r>
    </w:p>
    <w:p w:rsidR="004215C0" w:rsidRPr="00A304BB" w:rsidRDefault="004215C0" w:rsidP="004215C0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304B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Материалът за изработка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следва да </w:t>
      </w:r>
      <w:r w:rsidRPr="00A304BB">
        <w:rPr>
          <w:rFonts w:ascii="Times New Roman" w:eastAsia="Times New Roman" w:hAnsi="Times New Roman" w:cs="Times New Roman"/>
          <w:sz w:val="24"/>
          <w:szCs w:val="24"/>
          <w:lang w:val="en-US"/>
        </w:rPr>
        <w:t>е:</w:t>
      </w:r>
    </w:p>
    <w:p w:rsidR="004215C0" w:rsidRPr="00A304BB" w:rsidRDefault="004215C0" w:rsidP="004215C0">
      <w:pPr>
        <w:widowControl w:val="0"/>
        <w:numPr>
          <w:ilvl w:val="2"/>
          <w:numId w:val="22"/>
        </w:numPr>
        <w:autoSpaceDE w:val="0"/>
        <w:autoSpaceDN w:val="0"/>
        <w:spacing w:before="1" w:after="0" w:line="276" w:lineRule="auto"/>
        <w:ind w:left="284" w:firstLine="0"/>
        <w:rPr>
          <w:rFonts w:ascii="Times New Roman" w:eastAsia="Times New Roman" w:hAnsi="Times New Roman" w:cs="Times New Roman"/>
          <w:sz w:val="24"/>
          <w:lang w:val="en-US"/>
        </w:rPr>
      </w:pPr>
      <w:r w:rsidRPr="00A304BB">
        <w:rPr>
          <w:rFonts w:ascii="Times New Roman" w:eastAsia="Times New Roman" w:hAnsi="Times New Roman" w:cs="Times New Roman"/>
          <w:sz w:val="24"/>
          <w:lang w:val="en-US"/>
        </w:rPr>
        <w:t>Метална рамка, самостоятелностояща.</w:t>
      </w:r>
    </w:p>
    <w:p w:rsidR="004215C0" w:rsidRPr="003C4CF0" w:rsidRDefault="004215C0" w:rsidP="004215C0">
      <w:pPr>
        <w:widowControl w:val="0"/>
        <w:numPr>
          <w:ilvl w:val="2"/>
          <w:numId w:val="22"/>
        </w:numPr>
        <w:autoSpaceDE w:val="0"/>
        <w:autoSpaceDN w:val="0"/>
        <w:spacing w:after="0" w:line="276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304BB">
        <w:rPr>
          <w:rFonts w:ascii="Times New Roman" w:eastAsia="Times New Roman" w:hAnsi="Times New Roman" w:cs="Times New Roman"/>
          <w:sz w:val="24"/>
          <w:szCs w:val="24"/>
          <w:lang w:val="en-US"/>
        </w:rPr>
        <w:t>Платното е отпечатан</w:t>
      </w:r>
      <w:r w:rsidRPr="003C4CF0">
        <w:rPr>
          <w:rFonts w:ascii="Times New Roman" w:eastAsia="Times New Roman" w:hAnsi="Times New Roman" w:cs="Times New Roman"/>
          <w:sz w:val="24"/>
          <w:szCs w:val="24"/>
          <w:lang w:val="en-US"/>
        </w:rPr>
        <w:t>винил</w:t>
      </w:r>
      <w:r w:rsidRPr="003C4CF0">
        <w:rPr>
          <w:rFonts w:ascii="Times New Roman" w:eastAsia="Times New Roman" w:hAnsi="Times New Roman" w:cs="Times New Roman"/>
          <w:sz w:val="24"/>
          <w:szCs w:val="24"/>
        </w:rPr>
        <w:t xml:space="preserve"> или друг материал </w:t>
      </w:r>
      <w:r w:rsidRPr="003C4CF0">
        <w:rPr>
          <w:rFonts w:ascii="Times New Roman" w:eastAsia="Times New Roman" w:hAnsi="Times New Roman" w:cs="Times New Roman"/>
          <w:sz w:val="24"/>
          <w:szCs w:val="24"/>
          <w:lang w:val="en-US"/>
        </w:rPr>
        <w:t>устойчив на светлина и всякакви външни атмосферни условия</w:t>
      </w:r>
      <w:r w:rsidRPr="003C4CF0">
        <w:rPr>
          <w:rFonts w:ascii="Times New Roman" w:eastAsia="Times New Roman" w:hAnsi="Times New Roman" w:cs="Times New Roman"/>
          <w:sz w:val="24"/>
          <w:szCs w:val="24"/>
        </w:rPr>
        <w:t>, пълноцветен печат.</w:t>
      </w:r>
    </w:p>
    <w:p w:rsidR="004215C0" w:rsidRPr="00A304BB" w:rsidRDefault="004215C0" w:rsidP="004215C0">
      <w:pPr>
        <w:widowControl w:val="0"/>
        <w:numPr>
          <w:ilvl w:val="2"/>
          <w:numId w:val="22"/>
        </w:numPr>
        <w:autoSpaceDE w:val="0"/>
        <w:autoSpaceDN w:val="0"/>
        <w:spacing w:after="0" w:line="276" w:lineRule="auto"/>
        <w:ind w:left="284" w:firstLine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C4CF0">
        <w:rPr>
          <w:rFonts w:ascii="Times New Roman" w:eastAsia="Times New Roman" w:hAnsi="Times New Roman" w:cs="Times New Roman"/>
          <w:sz w:val="24"/>
          <w:szCs w:val="24"/>
          <w:lang w:val="en-US"/>
        </w:rPr>
        <w:t>Минимален размер на 1 билборд – 4 x 3 м.</w:t>
      </w:r>
      <w:r w:rsidRPr="003C4CF0">
        <w:rPr>
          <w:rFonts w:ascii="Times New Roman" w:eastAsia="Times New Roman" w:hAnsi="Times New Roman" w:cs="Times New Roman"/>
          <w:sz w:val="24"/>
          <w:szCs w:val="24"/>
        </w:rPr>
        <w:t>, двустранен</w:t>
      </w:r>
    </w:p>
    <w:p w:rsidR="004215C0" w:rsidRPr="003C4CF0" w:rsidRDefault="004215C0" w:rsidP="004215C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C4CF0">
        <w:rPr>
          <w:rFonts w:ascii="Times New Roman" w:eastAsia="Times New Roman" w:hAnsi="Times New Roman" w:cs="Times New Roman"/>
          <w:sz w:val="24"/>
          <w:szCs w:val="24"/>
          <w:lang w:val="en-US"/>
        </w:rPr>
        <w:t>Тази дейност включва изработване, доставка и монтаж на място. Монтажът ще бъде извършен преди официалната церемония "Първа копка".</w:t>
      </w:r>
    </w:p>
    <w:p w:rsidR="004215C0" w:rsidRPr="003C4CF0" w:rsidRDefault="004215C0" w:rsidP="004215C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C4CF0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Изпълнителят следва да подготви и представи на Възложителя вариант за идеен проект за дизайн на билборд, съобразени с изискванията на Единния наръчник на бенефициента за прилагане на правилата за информация и комуникация 2014-2020 г.Възложителят одобрява представеният вариант за идеен проект за дизайн на билборд.</w:t>
      </w:r>
    </w:p>
    <w:p w:rsidR="004215C0" w:rsidRPr="003079D8" w:rsidRDefault="004215C0" w:rsidP="004215C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В случай, че В</w:t>
      </w:r>
      <w:r w:rsidRPr="003C4CF0">
        <w:rPr>
          <w:rFonts w:ascii="Times New Roman" w:eastAsia="Times New Roman" w:hAnsi="Times New Roman" w:cs="Times New Roman"/>
          <w:sz w:val="24"/>
          <w:szCs w:val="24"/>
          <w:lang w:val="en-US"/>
        </w:rPr>
        <w:t>ъзложителят има забележки и препоръки към представения вариант за идеен проект, те се отразяват от Изпълнителя и се представя коригиран вариант за одобрение на дизайна на билборд.</w:t>
      </w:r>
      <w:r w:rsidRPr="003079D8">
        <w:rPr>
          <w:rFonts w:ascii="Times New Roman" w:eastAsia="Times New Roman" w:hAnsi="Times New Roman" w:cs="Times New Roman"/>
          <w:sz w:val="24"/>
          <w:szCs w:val="24"/>
        </w:rPr>
        <w:t>Препоръките</w:t>
      </w:r>
      <w:r w:rsidRPr="003C4CF0">
        <w:rPr>
          <w:rFonts w:ascii="Times New Roman" w:eastAsia="Times New Roman" w:hAnsi="Times New Roman" w:cs="Times New Roman"/>
          <w:sz w:val="24"/>
          <w:szCs w:val="24"/>
        </w:rPr>
        <w:t xml:space="preserve"> и забележките на Възложителя са задължителни за Изпълнителя. </w:t>
      </w:r>
      <w:r w:rsidRPr="003079D8">
        <w:rPr>
          <w:rFonts w:ascii="Times New Roman" w:eastAsia="Times New Roman" w:hAnsi="Times New Roman" w:cs="Times New Roman"/>
          <w:sz w:val="24"/>
          <w:szCs w:val="24"/>
        </w:rPr>
        <w:t>Изпълнителят следва да изработи и монтира одобрения вариант на билборд.В случай, че след монтажа се установят разлики между монтирания билборд и одобрения дизайн, Възложителят има право да откаже приемането на монтираните билборд</w:t>
      </w:r>
      <w:r w:rsidRPr="003C4CF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079D8">
        <w:rPr>
          <w:rFonts w:ascii="Times New Roman" w:eastAsia="Times New Roman" w:hAnsi="Times New Roman" w:cs="Times New Roman"/>
          <w:sz w:val="24"/>
          <w:szCs w:val="24"/>
        </w:rPr>
        <w:t>. В такъв случай всички разходи за подмяна на монтираните билборд</w:t>
      </w:r>
      <w:r w:rsidRPr="003C4CF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079D8">
        <w:rPr>
          <w:rFonts w:ascii="Times New Roman" w:eastAsia="Times New Roman" w:hAnsi="Times New Roman" w:cs="Times New Roman"/>
          <w:sz w:val="24"/>
          <w:szCs w:val="24"/>
        </w:rPr>
        <w:t xml:space="preserve"> с такива, </w:t>
      </w:r>
      <w:r w:rsidRPr="003C4CF0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r w:rsidRPr="003079D8">
        <w:rPr>
          <w:rFonts w:ascii="Times New Roman" w:eastAsia="Times New Roman" w:hAnsi="Times New Roman" w:cs="Times New Roman"/>
          <w:sz w:val="24"/>
          <w:szCs w:val="24"/>
        </w:rPr>
        <w:t>одобрен от Възложителя дизайн, са за сметка на Изпълнителя.</w:t>
      </w:r>
    </w:p>
    <w:p w:rsidR="004215C0" w:rsidRPr="003079D8" w:rsidRDefault="004215C0" w:rsidP="004215C0">
      <w:pPr>
        <w:widowControl w:val="0"/>
        <w:autoSpaceDE w:val="0"/>
        <w:autoSpaceDN w:val="0"/>
        <w:spacing w:after="120" w:line="276" w:lineRule="auto"/>
        <w:ind w:right="-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79D8">
        <w:rPr>
          <w:rFonts w:ascii="Times New Roman" w:eastAsia="Times New Roman" w:hAnsi="Times New Roman" w:cs="Times New Roman"/>
          <w:sz w:val="24"/>
          <w:szCs w:val="24"/>
        </w:rPr>
        <w:t>Билбордите следва да бъдат отстранени от Изпълнителя след изпълнение на строителните дейности, но не по-късно от три месеца след приключване на работата по проекта.</w:t>
      </w:r>
    </w:p>
    <w:p w:rsidR="004215C0" w:rsidRDefault="004215C0" w:rsidP="00387542">
      <w:pPr>
        <w:pStyle w:val="a7"/>
        <w:widowControl w:val="0"/>
        <w:numPr>
          <w:ilvl w:val="0"/>
          <w:numId w:val="39"/>
        </w:numPr>
        <w:autoSpaceDE w:val="0"/>
        <w:autoSpaceDN w:val="0"/>
        <w:spacing w:after="120" w:line="240" w:lineRule="auto"/>
        <w:ind w:left="567" w:right="-12" w:hanging="28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045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Изработване и поставяне на  постоянни обяснителни табели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– 2 бр.</w:t>
      </w:r>
    </w:p>
    <w:p w:rsidR="004215C0" w:rsidRPr="003079D8" w:rsidRDefault="004215C0" w:rsidP="004215C0">
      <w:pPr>
        <w:pStyle w:val="a7"/>
        <w:widowControl w:val="0"/>
        <w:tabs>
          <w:tab w:val="left" w:pos="1061"/>
        </w:tabs>
        <w:autoSpaceDE w:val="0"/>
        <w:autoSpaceDN w:val="0"/>
        <w:spacing w:before="104" w:after="0" w:line="276" w:lineRule="auto"/>
        <w:ind w:left="0" w:right="342"/>
        <w:contextualSpacing w:val="0"/>
        <w:jc w:val="both"/>
        <w:rPr>
          <w:rFonts w:ascii="Times New Roman" w:eastAsia="Times New Roman" w:hAnsi="Times New Roman" w:cs="Times New Roman"/>
          <w:sz w:val="24"/>
        </w:rPr>
      </w:pPr>
      <w:r w:rsidRPr="003079D8">
        <w:rPr>
          <w:rFonts w:ascii="Times New Roman" w:eastAsia="Times New Roman" w:hAnsi="Times New Roman" w:cs="Times New Roman"/>
          <w:sz w:val="24"/>
          <w:szCs w:val="24"/>
        </w:rPr>
        <w:t xml:space="preserve">Изпълнителят следва да изработи, достави и монтира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079D8">
        <w:rPr>
          <w:rFonts w:ascii="Times New Roman" w:eastAsia="Times New Roman" w:hAnsi="Times New Roman" w:cs="Times New Roman"/>
          <w:sz w:val="24"/>
          <w:szCs w:val="24"/>
        </w:rPr>
        <w:t xml:space="preserve"> бр. постоянни табели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.Изпълнителят следва да отстрани поставените билбордове и да монтира постоянни обяснителни табели. Монтажът на обяснителните табели трябва да се извърши след приключване на СМР на обектите. </w:t>
      </w:r>
      <w:r w:rsidRPr="003079D8">
        <w:rPr>
          <w:rFonts w:ascii="Times New Roman" w:eastAsia="Times New Roman" w:hAnsi="Times New Roman" w:cs="Times New Roman"/>
          <w:sz w:val="24"/>
          <w:szCs w:val="24"/>
        </w:rPr>
        <w:t xml:space="preserve"> Постоянните обяснителни табели следва бъдат поставени на подходящо и видно място за широката общественост. Минимален допустим размер на 1 табела - 50х70 см.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079D8">
        <w:rPr>
          <w:rFonts w:ascii="Times New Roman" w:eastAsia="Times New Roman" w:hAnsi="Times New Roman" w:cs="Times New Roman"/>
          <w:sz w:val="24"/>
          <w:szCs w:val="24"/>
        </w:rPr>
        <w:t xml:space="preserve"> изработена от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траен </w:t>
      </w:r>
      <w:r w:rsidRPr="003079D8">
        <w:rPr>
          <w:rFonts w:ascii="Times New Roman" w:eastAsia="Times New Roman" w:hAnsi="Times New Roman" w:cs="Times New Roman"/>
          <w:sz w:val="24"/>
          <w:szCs w:val="24"/>
        </w:rPr>
        <w:t>материал, устойчив на неблагоприятни атмосферни условия,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пожаробезопасен</w:t>
      </w:r>
      <w:r w:rsidRPr="003079D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Материал: основа - </w:t>
      </w:r>
      <w:r w:rsidRPr="003079D8">
        <w:rPr>
          <w:rFonts w:ascii="Times New Roman" w:eastAsia="Times New Roman" w:hAnsi="Times New Roman" w:cs="Times New Roman"/>
          <w:sz w:val="24"/>
        </w:rPr>
        <w:t>разпенено ПВЦ /</w:t>
      </w:r>
      <w:r w:rsidRPr="00502923">
        <w:rPr>
          <w:rFonts w:ascii="Times New Roman" w:eastAsia="Times New Roman" w:hAnsi="Times New Roman" w:cs="Times New Roman"/>
          <w:sz w:val="24"/>
          <w:lang w:val="en-US"/>
        </w:rPr>
        <w:t>PVC</w:t>
      </w:r>
      <w:r w:rsidRPr="003079D8">
        <w:rPr>
          <w:rFonts w:ascii="Times New Roman" w:eastAsia="Times New Roman" w:hAnsi="Times New Roman" w:cs="Times New Roman"/>
          <w:sz w:val="24"/>
        </w:rPr>
        <w:t xml:space="preserve">/ плоскост за монтаж при външни условия в метална конструкция, с апликация от ламинирано </w:t>
      </w:r>
      <w:r w:rsidRPr="00502923">
        <w:rPr>
          <w:rFonts w:ascii="Times New Roman" w:eastAsia="Times New Roman" w:hAnsi="Times New Roman" w:cs="Times New Roman"/>
          <w:sz w:val="24"/>
          <w:lang w:val="en-US"/>
        </w:rPr>
        <w:t>PVC</w:t>
      </w:r>
      <w:r w:rsidRPr="003079D8">
        <w:rPr>
          <w:rFonts w:ascii="Times New Roman" w:eastAsia="Times New Roman" w:hAnsi="Times New Roman" w:cs="Times New Roman"/>
          <w:sz w:val="24"/>
        </w:rPr>
        <w:t xml:space="preserve"> лице – матово фолио в пълноцветен печат.</w:t>
      </w:r>
    </w:p>
    <w:p w:rsidR="004215C0" w:rsidRPr="003079D8" w:rsidRDefault="004215C0" w:rsidP="004215C0">
      <w:pPr>
        <w:widowControl w:val="0"/>
        <w:autoSpaceDE w:val="0"/>
        <w:autoSpaceDN w:val="0"/>
        <w:spacing w:after="0" w:line="276" w:lineRule="auto"/>
        <w:ind w:right="-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79D8">
        <w:rPr>
          <w:rFonts w:ascii="Times New Roman" w:eastAsia="Times New Roman" w:hAnsi="Times New Roman" w:cs="Times New Roman"/>
          <w:sz w:val="24"/>
          <w:szCs w:val="24"/>
        </w:rPr>
        <w:t xml:space="preserve">Задължителната текстова и визуална идентификация за табелите е конкретизирана в т. 3.3 и т. 8.2. от Единен наръчник на бенефициента за прилагане на правилата за информация и комуникация 2014-2020 г. </w:t>
      </w:r>
    </w:p>
    <w:p w:rsidR="004215C0" w:rsidRPr="003079D8" w:rsidRDefault="004215C0" w:rsidP="004215C0">
      <w:pPr>
        <w:pStyle w:val="a7"/>
        <w:widowControl w:val="0"/>
        <w:numPr>
          <w:ilvl w:val="0"/>
          <w:numId w:val="24"/>
        </w:numPr>
        <w:autoSpaceDE w:val="0"/>
        <w:autoSpaceDN w:val="0"/>
        <w:spacing w:after="0" w:line="276" w:lineRule="auto"/>
        <w:ind w:right="-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79D8">
        <w:rPr>
          <w:rFonts w:ascii="Times New Roman" w:eastAsia="Times New Roman" w:hAnsi="Times New Roman" w:cs="Times New Roman"/>
          <w:sz w:val="24"/>
          <w:szCs w:val="24"/>
        </w:rPr>
        <w:t xml:space="preserve">емблемата на ЕС  и упоменаването „Европейски съюз“; </w:t>
      </w:r>
    </w:p>
    <w:p w:rsidR="004215C0" w:rsidRPr="003079D8" w:rsidRDefault="004215C0" w:rsidP="004215C0">
      <w:pPr>
        <w:pStyle w:val="a7"/>
        <w:widowControl w:val="0"/>
        <w:numPr>
          <w:ilvl w:val="0"/>
          <w:numId w:val="24"/>
        </w:numPr>
        <w:autoSpaceDE w:val="0"/>
        <w:autoSpaceDN w:val="0"/>
        <w:spacing w:after="0" w:line="276" w:lineRule="auto"/>
        <w:ind w:right="-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79D8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наименованието на съфинансиращия фонд (Европейски фонд за регионално развитие); </w:t>
      </w:r>
    </w:p>
    <w:p w:rsidR="004215C0" w:rsidRPr="003079D8" w:rsidRDefault="004215C0" w:rsidP="004215C0">
      <w:pPr>
        <w:pStyle w:val="a7"/>
        <w:widowControl w:val="0"/>
        <w:numPr>
          <w:ilvl w:val="0"/>
          <w:numId w:val="24"/>
        </w:numPr>
        <w:autoSpaceDE w:val="0"/>
        <w:autoSpaceDN w:val="0"/>
        <w:spacing w:after="0" w:line="276" w:lineRule="auto"/>
        <w:ind w:right="-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79D8">
        <w:rPr>
          <w:rFonts w:ascii="Times New Roman" w:eastAsia="Times New Roman" w:hAnsi="Times New Roman" w:cs="Times New Roman"/>
          <w:sz w:val="24"/>
          <w:szCs w:val="24"/>
        </w:rPr>
        <w:t xml:space="preserve">общото лого за програмен период </w:t>
      </w:r>
      <w:r w:rsidRPr="003079D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2014- </w:t>
      </w:r>
      <w:r w:rsidRPr="003079D8">
        <w:rPr>
          <w:rFonts w:ascii="Times New Roman" w:eastAsia="Times New Roman" w:hAnsi="Times New Roman" w:cs="Times New Roman"/>
          <w:sz w:val="24"/>
          <w:szCs w:val="24"/>
        </w:rPr>
        <w:t>2020 със съответното наименование на финансиращата програма (Оперативнапрограма„</w:t>
      </w:r>
      <w:r>
        <w:rPr>
          <w:rFonts w:ascii="Times New Roman" w:eastAsia="Times New Roman" w:hAnsi="Times New Roman" w:cs="Times New Roman"/>
          <w:sz w:val="24"/>
          <w:szCs w:val="24"/>
        </w:rPr>
        <w:t>Околна среда</w:t>
      </w:r>
      <w:r w:rsidRPr="003079D8">
        <w:rPr>
          <w:rFonts w:ascii="Times New Roman" w:eastAsia="Times New Roman" w:hAnsi="Times New Roman" w:cs="Times New Roman"/>
          <w:sz w:val="24"/>
          <w:szCs w:val="24"/>
        </w:rPr>
        <w:t>“ 2014 – 2020);</w:t>
      </w:r>
    </w:p>
    <w:p w:rsidR="004215C0" w:rsidRDefault="004215C0" w:rsidP="004215C0">
      <w:pPr>
        <w:pStyle w:val="a7"/>
        <w:widowControl w:val="0"/>
        <w:numPr>
          <w:ilvl w:val="0"/>
          <w:numId w:val="24"/>
        </w:numPr>
        <w:autoSpaceDE w:val="0"/>
        <w:autoSpaceDN w:val="0"/>
        <w:spacing w:after="0" w:line="276" w:lineRule="auto"/>
        <w:ind w:right="-12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C3E7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наименование на проекта; </w:t>
      </w:r>
    </w:p>
    <w:p w:rsidR="004215C0" w:rsidRPr="009C3E73" w:rsidRDefault="004215C0" w:rsidP="004215C0">
      <w:pPr>
        <w:pStyle w:val="a7"/>
        <w:widowControl w:val="0"/>
        <w:numPr>
          <w:ilvl w:val="0"/>
          <w:numId w:val="24"/>
        </w:numPr>
        <w:autoSpaceDE w:val="0"/>
        <w:autoSpaceDN w:val="0"/>
        <w:spacing w:after="0" w:line="276" w:lineRule="auto"/>
        <w:ind w:right="-12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C3E73">
        <w:rPr>
          <w:rFonts w:ascii="Times New Roman" w:eastAsia="Times New Roman" w:hAnsi="Times New Roman" w:cs="Times New Roman"/>
          <w:sz w:val="24"/>
          <w:szCs w:val="24"/>
          <w:lang w:val="en-US"/>
        </w:rPr>
        <w:t>обща стойност, размер на европейското и националното съфинансиране, представени в български лева.</w:t>
      </w:r>
    </w:p>
    <w:p w:rsidR="004215C0" w:rsidRPr="003079D8" w:rsidRDefault="004215C0" w:rsidP="004215C0">
      <w:pPr>
        <w:pStyle w:val="ab"/>
        <w:spacing w:line="276" w:lineRule="auto"/>
        <w:ind w:right="1"/>
        <w:jc w:val="both"/>
        <w:rPr>
          <w:rFonts w:ascii="Times New Roman" w:eastAsia="Times New Roman" w:hAnsi="Times New Roman"/>
          <w:sz w:val="24"/>
          <w:szCs w:val="24"/>
        </w:rPr>
      </w:pPr>
      <w:r w:rsidRPr="009C3E7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Изпълнителят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подготвя и представя</w:t>
      </w:r>
      <w:r w:rsidRPr="009C3E7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на Възложителя вариант за идеен проект за дизайн на табела, съобразени с изискванията на Единния наръчник на бенефициента за прилагане на правилата за информация и комуникация 2014 - 2020 г.</w:t>
      </w:r>
      <w:r w:rsidRPr="009C3E73">
        <w:rPr>
          <w:rFonts w:ascii="Times New Roman" w:eastAsia="Times New Roman" w:hAnsi="Times New Roman"/>
          <w:sz w:val="24"/>
          <w:szCs w:val="24"/>
          <w:lang w:val="en-US"/>
        </w:rPr>
        <w:t>Възложителят одобрява представеният вариант за идеен проект за дизайн на табелата.</w:t>
      </w:r>
      <w:r>
        <w:rPr>
          <w:rFonts w:ascii="Times New Roman" w:eastAsia="Times New Roman" w:hAnsi="Times New Roman"/>
          <w:sz w:val="24"/>
          <w:szCs w:val="24"/>
        </w:rPr>
        <w:t xml:space="preserve">  Препоръките и забележките на Възложителя са </w:t>
      </w: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задължителни за Изпълнителя. </w:t>
      </w:r>
      <w:r w:rsidRPr="003C4CF0">
        <w:rPr>
          <w:rFonts w:ascii="Times New Roman" w:eastAsia="Times New Roman" w:hAnsi="Times New Roman"/>
          <w:sz w:val="24"/>
          <w:szCs w:val="24"/>
        </w:rPr>
        <w:t>Изпълнителят следва да изработи и монтира одобрения вариант на информационните табели.</w:t>
      </w:r>
      <w:r w:rsidRPr="003079D8">
        <w:rPr>
          <w:rFonts w:ascii="Times New Roman" w:eastAsia="Times New Roman" w:hAnsi="Times New Roman"/>
          <w:sz w:val="24"/>
          <w:szCs w:val="24"/>
        </w:rPr>
        <w:t>В случай, че след монтажа се установят разлики между монтираните табели и одобрения дизайн, Възложителят има право да откаже приемането им. В такъв случай всички разходи за подмяна на информационните табели с такъв, с одобрен от Възложителя дизайн, са за сметка на Изпълнителя.</w:t>
      </w:r>
    </w:p>
    <w:p w:rsidR="000157DA" w:rsidRPr="004F2DB0" w:rsidRDefault="00B81314" w:rsidP="000157DA">
      <w:pPr>
        <w:widowControl w:val="0"/>
        <w:autoSpaceDE w:val="0"/>
        <w:autoSpaceDN w:val="0"/>
        <w:spacing w:after="120" w:line="276" w:lineRule="auto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  <w:u w:val="thick"/>
        </w:rPr>
        <w:t>За Обособена позиция №2</w:t>
      </w:r>
    </w:p>
    <w:p w:rsidR="000157DA" w:rsidRPr="004215C0" w:rsidRDefault="000157DA" w:rsidP="00387542">
      <w:pPr>
        <w:pStyle w:val="a7"/>
        <w:numPr>
          <w:ilvl w:val="0"/>
          <w:numId w:val="40"/>
        </w:numPr>
        <w:spacing w:after="0"/>
        <w:jc w:val="both"/>
      </w:pPr>
      <w:r w:rsidRPr="0038754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Изработване на папки за целите на началната и заключителната пресконференция</w:t>
      </w:r>
      <w:r w:rsidR="008730E7" w:rsidRPr="0038754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– 200 бр.</w:t>
      </w:r>
    </w:p>
    <w:p w:rsidR="000157DA" w:rsidRPr="00B018A6" w:rsidRDefault="000157DA" w:rsidP="00265AB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8A6">
        <w:rPr>
          <w:rFonts w:ascii="Times New Roman" w:hAnsi="Times New Roman" w:cs="Times New Roman"/>
          <w:sz w:val="24"/>
          <w:szCs w:val="24"/>
        </w:rPr>
        <w:t xml:space="preserve">Папка - формат А4, </w:t>
      </w:r>
      <w:r w:rsidR="00F773B5">
        <w:rPr>
          <w:rFonts w:ascii="Times New Roman" w:hAnsi="Times New Roman" w:cs="Times New Roman"/>
          <w:sz w:val="24"/>
          <w:szCs w:val="24"/>
        </w:rPr>
        <w:t>високачествен материал РР</w:t>
      </w:r>
      <w:r w:rsidRPr="00B018A6">
        <w:rPr>
          <w:rFonts w:ascii="Times New Roman" w:hAnsi="Times New Roman" w:cs="Times New Roman"/>
          <w:sz w:val="24"/>
          <w:szCs w:val="24"/>
        </w:rPr>
        <w:t xml:space="preserve">, с 1 капак, </w:t>
      </w:r>
      <w:r w:rsidR="00F773B5">
        <w:rPr>
          <w:rFonts w:ascii="Times New Roman" w:hAnsi="Times New Roman" w:cs="Times New Roman"/>
          <w:sz w:val="24"/>
          <w:szCs w:val="24"/>
        </w:rPr>
        <w:t>с ластик, цвят сле</w:t>
      </w:r>
      <w:r w:rsidR="00AC35A6">
        <w:rPr>
          <w:rFonts w:ascii="Times New Roman" w:hAnsi="Times New Roman" w:cs="Times New Roman"/>
          <w:sz w:val="24"/>
          <w:szCs w:val="24"/>
        </w:rPr>
        <w:t>д</w:t>
      </w:r>
      <w:r w:rsidR="00F773B5">
        <w:rPr>
          <w:rFonts w:ascii="Times New Roman" w:hAnsi="Times New Roman" w:cs="Times New Roman"/>
          <w:sz w:val="24"/>
          <w:szCs w:val="24"/>
        </w:rPr>
        <w:t xml:space="preserve"> предварително съгласуване с Възложителя, </w:t>
      </w:r>
      <w:r w:rsidRPr="00B018A6">
        <w:rPr>
          <w:rFonts w:ascii="Times New Roman" w:hAnsi="Times New Roman" w:cs="Times New Roman"/>
          <w:sz w:val="24"/>
          <w:szCs w:val="24"/>
        </w:rPr>
        <w:t>брандирана в съответствие с т. 3.7. и т. 8.6. на Единен наръчник на бенефициента за прилагане на правилата за информация и комуникация 2014-2020 г.;</w:t>
      </w:r>
    </w:p>
    <w:p w:rsidR="008730E7" w:rsidRPr="003C4CF0" w:rsidRDefault="008730E7" w:rsidP="00265AB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CF0">
        <w:rPr>
          <w:rFonts w:ascii="Times New Roman" w:hAnsi="Times New Roman" w:cs="Times New Roman"/>
          <w:sz w:val="24"/>
          <w:szCs w:val="24"/>
        </w:rPr>
        <w:t>Папките следва да съдържат:</w:t>
      </w:r>
    </w:p>
    <w:p w:rsidR="008730E7" w:rsidRPr="003C4CF0" w:rsidRDefault="008730E7" w:rsidP="00265ABC">
      <w:pPr>
        <w:pStyle w:val="a7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CF0">
        <w:rPr>
          <w:rFonts w:ascii="Times New Roman" w:hAnsi="Times New Roman" w:cs="Times New Roman"/>
          <w:sz w:val="24"/>
          <w:szCs w:val="24"/>
        </w:rPr>
        <w:t>емблемата на ЕС и упоменаването „Европейски съюз;</w:t>
      </w:r>
    </w:p>
    <w:p w:rsidR="008730E7" w:rsidRPr="003C4CF0" w:rsidRDefault="008730E7" w:rsidP="00265ABC">
      <w:pPr>
        <w:pStyle w:val="a7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CF0">
        <w:rPr>
          <w:rFonts w:ascii="Times New Roman" w:hAnsi="Times New Roman" w:cs="Times New Roman"/>
          <w:sz w:val="24"/>
          <w:szCs w:val="24"/>
        </w:rPr>
        <w:t>наименованието на съфинансиращия фонд – Европейски фонд за регионално развитие (ЕФРР);</w:t>
      </w:r>
    </w:p>
    <w:p w:rsidR="008730E7" w:rsidRPr="003C4CF0" w:rsidRDefault="008730E7" w:rsidP="00265ABC">
      <w:pPr>
        <w:pStyle w:val="a7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CF0">
        <w:rPr>
          <w:rFonts w:ascii="Times New Roman" w:hAnsi="Times New Roman" w:cs="Times New Roman"/>
          <w:sz w:val="24"/>
          <w:szCs w:val="24"/>
        </w:rPr>
        <w:t>общото лого на програмен период 2014-2020 г., с наименованието "Оперативна програма Околна среда 2014-2020";</w:t>
      </w:r>
    </w:p>
    <w:p w:rsidR="008730E7" w:rsidRDefault="008730E7" w:rsidP="00265ABC">
      <w:pPr>
        <w:pStyle w:val="a7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CF0">
        <w:rPr>
          <w:rFonts w:ascii="Times New Roman" w:hAnsi="Times New Roman" w:cs="Times New Roman"/>
          <w:sz w:val="24"/>
          <w:szCs w:val="24"/>
        </w:rPr>
        <w:t xml:space="preserve">адреса на Единния информационен портал - </w:t>
      </w:r>
      <w:hyperlink r:id="rId8" w:history="1">
        <w:r w:rsidR="004F01E4" w:rsidRPr="005E2F6B">
          <w:rPr>
            <w:rStyle w:val="ad"/>
            <w:rFonts w:ascii="Times New Roman" w:hAnsi="Times New Roman" w:cs="Times New Roman"/>
            <w:sz w:val="24"/>
            <w:szCs w:val="24"/>
          </w:rPr>
          <w:t>www.eufunds.bg</w:t>
        </w:r>
      </w:hyperlink>
    </w:p>
    <w:p w:rsidR="005F3B70" w:rsidRPr="005F3B70" w:rsidRDefault="005F3B70" w:rsidP="005F3B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B70">
        <w:rPr>
          <w:rFonts w:ascii="Times New Roman" w:hAnsi="Times New Roman" w:cs="Times New Roman"/>
          <w:sz w:val="24"/>
          <w:szCs w:val="24"/>
        </w:rPr>
        <w:t>Дизайнът на продукта следва да е предварително одобрен и съгласуван от Възложителя.</w:t>
      </w:r>
    </w:p>
    <w:p w:rsidR="007A2779" w:rsidRPr="001631CF" w:rsidRDefault="007A2779" w:rsidP="00387542">
      <w:pPr>
        <w:pStyle w:val="a7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1C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Изработване на тефтери  за целите на началната и заключителната пресконференция</w:t>
      </w:r>
      <w:r w:rsidR="008730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– 200бр.</w:t>
      </w:r>
      <w:r w:rsidRPr="001631C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</w:p>
    <w:p w:rsidR="000157DA" w:rsidRPr="00C3434F" w:rsidRDefault="007A2779" w:rsidP="00265AB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34F">
        <w:rPr>
          <w:rFonts w:ascii="Times New Roman" w:hAnsi="Times New Roman" w:cs="Times New Roman"/>
          <w:sz w:val="24"/>
          <w:szCs w:val="24"/>
        </w:rPr>
        <w:t>Тефтер - В5 /176х250/, дата страница, концево шит и лепен, корица от два цвята термоактивна кожа със сухо преге, лице и гръб с мека вложка, тяло хартия жълт офсет - 80</w:t>
      </w:r>
      <w:r w:rsidR="00247AD9" w:rsidRPr="00C3434F">
        <w:rPr>
          <w:rFonts w:ascii="Times New Roman" w:hAnsi="Times New Roman" w:cs="Times New Roman"/>
          <w:sz w:val="24"/>
          <w:szCs w:val="24"/>
        </w:rPr>
        <w:t xml:space="preserve"> гр./кв.м. двуцветен печат брой</w:t>
      </w:r>
      <w:r w:rsidRPr="00C3434F">
        <w:rPr>
          <w:rFonts w:ascii="Times New Roman" w:hAnsi="Times New Roman" w:cs="Times New Roman"/>
          <w:sz w:val="24"/>
          <w:szCs w:val="24"/>
        </w:rPr>
        <w:t xml:space="preserve">. Страници - не по-малко от </w:t>
      </w:r>
      <w:r w:rsidR="00247AD9">
        <w:rPr>
          <w:rFonts w:ascii="Times New Roman" w:hAnsi="Times New Roman" w:cs="Times New Roman"/>
          <w:sz w:val="24"/>
          <w:szCs w:val="24"/>
        </w:rPr>
        <w:t>1</w:t>
      </w:r>
      <w:r w:rsidRPr="00C3434F">
        <w:rPr>
          <w:rFonts w:ascii="Times New Roman" w:hAnsi="Times New Roman" w:cs="Times New Roman"/>
          <w:sz w:val="24"/>
          <w:szCs w:val="24"/>
        </w:rPr>
        <w:t>50,</w:t>
      </w:r>
      <w:r w:rsidRPr="007A277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16 стр. полезна информация, текстилна лента за отбелязване, цветна карта на Европа и България. Цветове: комбинация от два цвята - зелен, черен, бордо, син, кафяв, бежов и други</w:t>
      </w:r>
      <w:r w:rsidRPr="00C3434F">
        <w:rPr>
          <w:rFonts w:ascii="Times New Roman" w:hAnsi="Times New Roman" w:cs="Times New Roman"/>
          <w:sz w:val="24"/>
          <w:szCs w:val="24"/>
        </w:rPr>
        <w:t>, брандиран в съответствие с т. 3.7. и т. 8.6. на Единен наръчник на бенефициента за прилагане на правилата за информация и комуникация 2014-2020 г.;</w:t>
      </w:r>
    </w:p>
    <w:p w:rsidR="00156CC6" w:rsidRDefault="00156CC6" w:rsidP="00AC35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Тефтерите следва да съдържат:</w:t>
      </w:r>
    </w:p>
    <w:p w:rsidR="00156CC6" w:rsidRPr="003C4CF0" w:rsidRDefault="00156CC6" w:rsidP="00156CC6">
      <w:pPr>
        <w:pStyle w:val="a7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4CF0">
        <w:rPr>
          <w:rFonts w:ascii="Times New Roman" w:hAnsi="Times New Roman" w:cs="Times New Roman"/>
          <w:sz w:val="24"/>
          <w:szCs w:val="24"/>
        </w:rPr>
        <w:t>емблемата на ЕС и упоменаването „Европейски съюз;</w:t>
      </w:r>
    </w:p>
    <w:p w:rsidR="00156CC6" w:rsidRPr="003C4CF0" w:rsidRDefault="00156CC6" w:rsidP="00156CC6">
      <w:pPr>
        <w:pStyle w:val="a7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4CF0">
        <w:rPr>
          <w:rFonts w:ascii="Times New Roman" w:hAnsi="Times New Roman" w:cs="Times New Roman"/>
          <w:sz w:val="24"/>
          <w:szCs w:val="24"/>
        </w:rPr>
        <w:t>наименованието на съфинансиращия фонд – Европейски фонд за регионално развитие (ЕФРР);</w:t>
      </w:r>
    </w:p>
    <w:p w:rsidR="00156CC6" w:rsidRPr="003C4CF0" w:rsidRDefault="00156CC6" w:rsidP="00156CC6">
      <w:pPr>
        <w:pStyle w:val="a7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4CF0">
        <w:rPr>
          <w:rFonts w:ascii="Times New Roman" w:hAnsi="Times New Roman" w:cs="Times New Roman"/>
          <w:sz w:val="24"/>
          <w:szCs w:val="24"/>
        </w:rPr>
        <w:t>общото лого на програмен период 2014-2020 г., с наименованието "Оперативна програма Околна среда 2014-2020";</w:t>
      </w:r>
    </w:p>
    <w:p w:rsidR="00156CC6" w:rsidRDefault="00156CC6" w:rsidP="00697BFC">
      <w:pPr>
        <w:pStyle w:val="a7"/>
        <w:numPr>
          <w:ilvl w:val="0"/>
          <w:numId w:val="19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3C4CF0">
        <w:rPr>
          <w:rFonts w:ascii="Times New Roman" w:hAnsi="Times New Roman" w:cs="Times New Roman"/>
          <w:sz w:val="24"/>
          <w:szCs w:val="24"/>
        </w:rPr>
        <w:t xml:space="preserve">адреса на Единния информационен портал - </w:t>
      </w:r>
      <w:hyperlink r:id="rId9" w:history="1">
        <w:r w:rsidR="005F3B70" w:rsidRPr="002750BF">
          <w:rPr>
            <w:rStyle w:val="ad"/>
            <w:rFonts w:ascii="Times New Roman" w:hAnsi="Times New Roman" w:cs="Times New Roman"/>
            <w:sz w:val="24"/>
            <w:szCs w:val="24"/>
          </w:rPr>
          <w:t>www.eufunds.bg</w:t>
        </w:r>
      </w:hyperlink>
    </w:p>
    <w:p w:rsidR="005F3B70" w:rsidRPr="005F3B70" w:rsidRDefault="005F3B70" w:rsidP="005F3B70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5F3B70">
        <w:rPr>
          <w:rFonts w:ascii="Times New Roman" w:hAnsi="Times New Roman" w:cs="Times New Roman"/>
          <w:sz w:val="24"/>
          <w:szCs w:val="24"/>
        </w:rPr>
        <w:t xml:space="preserve">Дизайнът на продукта следва да </w:t>
      </w:r>
      <w:r>
        <w:rPr>
          <w:rFonts w:ascii="Times New Roman" w:hAnsi="Times New Roman" w:cs="Times New Roman"/>
          <w:sz w:val="24"/>
          <w:szCs w:val="24"/>
        </w:rPr>
        <w:t>е предварително</w:t>
      </w:r>
      <w:r w:rsidRPr="005F3B70">
        <w:rPr>
          <w:rFonts w:ascii="Times New Roman" w:hAnsi="Times New Roman" w:cs="Times New Roman"/>
          <w:sz w:val="24"/>
          <w:szCs w:val="24"/>
        </w:rPr>
        <w:t xml:space="preserve"> одобрен</w:t>
      </w:r>
      <w:r>
        <w:rPr>
          <w:rFonts w:ascii="Times New Roman" w:hAnsi="Times New Roman" w:cs="Times New Roman"/>
          <w:sz w:val="24"/>
          <w:szCs w:val="24"/>
        </w:rPr>
        <w:t xml:space="preserve"> и съгласуван</w:t>
      </w:r>
      <w:r w:rsidRPr="005F3B70">
        <w:rPr>
          <w:rFonts w:ascii="Times New Roman" w:hAnsi="Times New Roman" w:cs="Times New Roman"/>
          <w:sz w:val="24"/>
          <w:szCs w:val="24"/>
        </w:rPr>
        <w:t xml:space="preserve"> от Възложителя.</w:t>
      </w:r>
    </w:p>
    <w:p w:rsidR="000B0647" w:rsidRPr="00387542" w:rsidRDefault="000B0647" w:rsidP="00387542">
      <w:pPr>
        <w:pStyle w:val="a7"/>
        <w:numPr>
          <w:ilvl w:val="0"/>
          <w:numId w:val="40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754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Изработване и отпечатване на брошури</w:t>
      </w:r>
      <w:r w:rsidR="008730E7" w:rsidRPr="0038754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– 1000 бр.</w:t>
      </w:r>
    </w:p>
    <w:p w:rsidR="00863097" w:rsidRDefault="00B1396D" w:rsidP="00D86436">
      <w:pPr>
        <w:pStyle w:val="a7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151C0">
        <w:rPr>
          <w:rFonts w:ascii="Times New Roman" w:hAnsi="Times New Roman" w:cs="Times New Roman"/>
          <w:sz w:val="24"/>
          <w:szCs w:val="24"/>
        </w:rPr>
        <w:lastRenderedPageBreak/>
        <w:t>Предвижда се изработката на 2 брошури в тираж от 500 бр. всяка. Първата брошура ще бъде отпечатана за началната пресконференция и ще популяризира целите на проекта, целите на ОПОС и финансовия принос на ЕС. Втората брошура ще бъде отпечатана за финалната пресконференция. Тя ще популяризира постигнатите резултати по проекта.</w:t>
      </w:r>
      <w:r w:rsidR="00D86436" w:rsidRPr="00AC35A6">
        <w:rPr>
          <w:rFonts w:ascii="Times New Roman" w:hAnsi="Times New Roman" w:cs="Times New Roman"/>
          <w:sz w:val="24"/>
          <w:szCs w:val="24"/>
        </w:rPr>
        <w:t xml:space="preserve">Съдържанието на </w:t>
      </w:r>
      <w:r w:rsidR="00D86436">
        <w:rPr>
          <w:rFonts w:ascii="Times New Roman" w:hAnsi="Times New Roman" w:cs="Times New Roman"/>
          <w:sz w:val="24"/>
          <w:szCs w:val="24"/>
        </w:rPr>
        <w:t xml:space="preserve">брошуритеследва да </w:t>
      </w:r>
      <w:r w:rsidR="00D86436" w:rsidRPr="00AC35A6">
        <w:rPr>
          <w:rFonts w:ascii="Times New Roman" w:hAnsi="Times New Roman" w:cs="Times New Roman"/>
          <w:sz w:val="24"/>
          <w:szCs w:val="24"/>
        </w:rPr>
        <w:t xml:space="preserve"> бъде изготвено заедно и съгласувано с Възложителя. </w:t>
      </w:r>
      <w:r w:rsidR="00B4687B">
        <w:rPr>
          <w:rFonts w:ascii="Times New Roman" w:hAnsi="Times New Roman" w:cs="Times New Roman"/>
          <w:sz w:val="24"/>
          <w:szCs w:val="24"/>
        </w:rPr>
        <w:t xml:space="preserve">Изпълнителят следва да разработи проект на брошурите и да ги представи на Възложителя за съгласуване и одобрение. </w:t>
      </w:r>
      <w:r w:rsidR="00863097">
        <w:rPr>
          <w:rFonts w:ascii="Times New Roman" w:hAnsi="Times New Roman" w:cs="Times New Roman"/>
          <w:sz w:val="24"/>
          <w:szCs w:val="24"/>
        </w:rPr>
        <w:t xml:space="preserve">След одобрение на проекта от страна на </w:t>
      </w:r>
      <w:r w:rsidR="00B4687B">
        <w:rPr>
          <w:rFonts w:ascii="Times New Roman" w:hAnsi="Times New Roman" w:cs="Times New Roman"/>
          <w:sz w:val="24"/>
          <w:szCs w:val="24"/>
        </w:rPr>
        <w:t>Възложителят</w:t>
      </w:r>
      <w:r w:rsidR="00863097">
        <w:rPr>
          <w:rFonts w:ascii="Times New Roman" w:hAnsi="Times New Roman" w:cs="Times New Roman"/>
          <w:sz w:val="24"/>
          <w:szCs w:val="24"/>
        </w:rPr>
        <w:t>, Изпълнителят отпечатва б</w:t>
      </w:r>
      <w:r w:rsidR="00B4687B">
        <w:rPr>
          <w:rFonts w:ascii="Times New Roman" w:hAnsi="Times New Roman" w:cs="Times New Roman"/>
          <w:sz w:val="24"/>
          <w:szCs w:val="24"/>
        </w:rPr>
        <w:t>рошурите</w:t>
      </w:r>
      <w:r w:rsidR="00863097">
        <w:rPr>
          <w:rFonts w:ascii="Times New Roman" w:hAnsi="Times New Roman" w:cs="Times New Roman"/>
          <w:sz w:val="24"/>
          <w:szCs w:val="24"/>
        </w:rPr>
        <w:t>.</w:t>
      </w:r>
    </w:p>
    <w:p w:rsidR="00AC35A6" w:rsidRDefault="00AC35A6" w:rsidP="00D86436">
      <w:pPr>
        <w:pStyle w:val="a7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C35A6">
        <w:rPr>
          <w:rFonts w:ascii="Times New Roman" w:hAnsi="Times New Roman" w:cs="Times New Roman"/>
          <w:sz w:val="24"/>
          <w:szCs w:val="24"/>
        </w:rPr>
        <w:t xml:space="preserve">Размер на </w:t>
      </w:r>
      <w:r>
        <w:rPr>
          <w:rFonts w:ascii="Times New Roman" w:hAnsi="Times New Roman" w:cs="Times New Roman"/>
          <w:sz w:val="24"/>
          <w:szCs w:val="24"/>
        </w:rPr>
        <w:t xml:space="preserve">брошурите </w:t>
      </w:r>
      <w:r w:rsidRPr="00AC35A6">
        <w:rPr>
          <w:rFonts w:ascii="Times New Roman" w:hAnsi="Times New Roman" w:cs="Times New Roman"/>
          <w:sz w:val="24"/>
          <w:szCs w:val="24"/>
        </w:rPr>
        <w:t xml:space="preserve"> в сгънат вид – А4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C35A6">
        <w:rPr>
          <w:rFonts w:ascii="Times New Roman" w:hAnsi="Times New Roman" w:cs="Times New Roman"/>
          <w:sz w:val="24"/>
          <w:szCs w:val="24"/>
        </w:rPr>
        <w:t>Пълноцветен печат 4+4</w:t>
      </w:r>
      <w:r w:rsidR="00156CC6">
        <w:rPr>
          <w:rFonts w:ascii="Times New Roman" w:hAnsi="Times New Roman" w:cs="Times New Roman"/>
          <w:sz w:val="24"/>
          <w:szCs w:val="24"/>
        </w:rPr>
        <w:t xml:space="preserve"> (двустранни)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C35A6">
        <w:rPr>
          <w:rFonts w:ascii="Times New Roman" w:hAnsi="Times New Roman" w:cs="Times New Roman"/>
          <w:sz w:val="24"/>
          <w:szCs w:val="24"/>
        </w:rPr>
        <w:t xml:space="preserve"> Двустранно хромов мат – 150 гр</w:t>
      </w:r>
      <w:r w:rsidR="00156CC6">
        <w:rPr>
          <w:rFonts w:ascii="Times New Roman" w:hAnsi="Times New Roman" w:cs="Times New Roman"/>
          <w:sz w:val="24"/>
          <w:szCs w:val="24"/>
        </w:rPr>
        <w:t>/м</w:t>
      </w:r>
      <w:r w:rsidR="00156CC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56CC6">
        <w:rPr>
          <w:rFonts w:ascii="Times New Roman" w:hAnsi="Times New Roman" w:cs="Times New Roman"/>
          <w:sz w:val="24"/>
          <w:szCs w:val="24"/>
        </w:rPr>
        <w:t xml:space="preserve">, тяло - 8 страници, корици -  2 страници, </w:t>
      </w:r>
      <w:r>
        <w:rPr>
          <w:rFonts w:ascii="Times New Roman" w:hAnsi="Times New Roman" w:cs="Times New Roman"/>
          <w:sz w:val="24"/>
          <w:szCs w:val="24"/>
        </w:rPr>
        <w:t xml:space="preserve"> Брошурите</w:t>
      </w:r>
      <w:r w:rsidRPr="00AC35A6">
        <w:rPr>
          <w:rFonts w:ascii="Times New Roman" w:hAnsi="Times New Roman" w:cs="Times New Roman"/>
          <w:sz w:val="24"/>
          <w:szCs w:val="24"/>
        </w:rPr>
        <w:t xml:space="preserve"> следва да бъдат изработени в съответствие с </w:t>
      </w:r>
      <w:r w:rsidR="00156CC6">
        <w:rPr>
          <w:rFonts w:ascii="Times New Roman" w:hAnsi="Times New Roman" w:cs="Times New Roman"/>
          <w:sz w:val="24"/>
          <w:szCs w:val="24"/>
        </w:rPr>
        <w:t xml:space="preserve">т. 3.7 и т.8.5 от </w:t>
      </w:r>
      <w:r w:rsidRPr="00AC35A6">
        <w:rPr>
          <w:rFonts w:ascii="Times New Roman" w:hAnsi="Times New Roman" w:cs="Times New Roman"/>
          <w:sz w:val="24"/>
          <w:szCs w:val="24"/>
        </w:rPr>
        <w:t>Единния наръчник за информ</w:t>
      </w:r>
      <w:r w:rsidR="00156CC6">
        <w:rPr>
          <w:rFonts w:ascii="Times New Roman" w:hAnsi="Times New Roman" w:cs="Times New Roman"/>
          <w:sz w:val="24"/>
          <w:szCs w:val="24"/>
        </w:rPr>
        <w:t xml:space="preserve">ация и комуникация 2014-2020 г. </w:t>
      </w:r>
    </w:p>
    <w:p w:rsidR="00AC35A6" w:rsidRDefault="00AC35A6" w:rsidP="00D86436">
      <w:pPr>
        <w:pStyle w:val="a7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Брошурите</w:t>
      </w:r>
      <w:r w:rsidRPr="00AC35A6">
        <w:rPr>
          <w:rFonts w:ascii="Times New Roman" w:hAnsi="Times New Roman" w:cs="Times New Roman"/>
          <w:sz w:val="24"/>
          <w:szCs w:val="24"/>
        </w:rPr>
        <w:t xml:space="preserve"> следва да съдържат:</w:t>
      </w:r>
    </w:p>
    <w:p w:rsidR="00AC35A6" w:rsidRPr="00AC35A6" w:rsidRDefault="00AC35A6" w:rsidP="00265ABC">
      <w:pPr>
        <w:pStyle w:val="a7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5A6">
        <w:rPr>
          <w:rFonts w:ascii="Times New Roman" w:hAnsi="Times New Roman" w:cs="Times New Roman"/>
          <w:sz w:val="24"/>
          <w:szCs w:val="24"/>
        </w:rPr>
        <w:t>наименованието на проекта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C35A6" w:rsidRPr="00AC35A6" w:rsidRDefault="00AC35A6" w:rsidP="00265ABC">
      <w:pPr>
        <w:pStyle w:val="a7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5A6">
        <w:rPr>
          <w:rFonts w:ascii="Times New Roman" w:hAnsi="Times New Roman" w:cs="Times New Roman"/>
          <w:sz w:val="24"/>
          <w:szCs w:val="24"/>
        </w:rPr>
        <w:t>информация за проекта;</w:t>
      </w:r>
    </w:p>
    <w:p w:rsidR="00AC35A6" w:rsidRPr="00AC35A6" w:rsidRDefault="00AC35A6" w:rsidP="00265ABC">
      <w:pPr>
        <w:pStyle w:val="a7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5A6">
        <w:rPr>
          <w:rFonts w:ascii="Times New Roman" w:hAnsi="Times New Roman" w:cs="Times New Roman"/>
          <w:sz w:val="24"/>
          <w:szCs w:val="24"/>
        </w:rPr>
        <w:t>снимков материал;</w:t>
      </w:r>
    </w:p>
    <w:p w:rsidR="00AC35A6" w:rsidRPr="00AC35A6" w:rsidRDefault="00AC35A6" w:rsidP="00265ABC">
      <w:pPr>
        <w:pStyle w:val="a7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5A6">
        <w:rPr>
          <w:rFonts w:ascii="Times New Roman" w:hAnsi="Times New Roman" w:cs="Times New Roman"/>
          <w:sz w:val="24"/>
          <w:szCs w:val="24"/>
        </w:rPr>
        <w:t>емблемата на ЕС;</w:t>
      </w:r>
    </w:p>
    <w:p w:rsidR="00AC35A6" w:rsidRPr="00AC35A6" w:rsidRDefault="00AC35A6" w:rsidP="00265ABC">
      <w:pPr>
        <w:pStyle w:val="a7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5A6">
        <w:rPr>
          <w:rFonts w:ascii="Times New Roman" w:hAnsi="Times New Roman" w:cs="Times New Roman"/>
          <w:sz w:val="24"/>
          <w:szCs w:val="24"/>
        </w:rPr>
        <w:t>упоменаването "Европейски съюз";</w:t>
      </w:r>
    </w:p>
    <w:p w:rsidR="00AC35A6" w:rsidRPr="00AC35A6" w:rsidRDefault="00AC35A6" w:rsidP="00265ABC">
      <w:pPr>
        <w:pStyle w:val="a7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5A6">
        <w:rPr>
          <w:rFonts w:ascii="Times New Roman" w:hAnsi="Times New Roman" w:cs="Times New Roman"/>
          <w:sz w:val="24"/>
          <w:szCs w:val="24"/>
        </w:rPr>
        <w:t>наименованието на съфинансиращия фонд</w:t>
      </w:r>
      <w:r>
        <w:rPr>
          <w:rFonts w:ascii="Times New Roman" w:hAnsi="Times New Roman" w:cs="Times New Roman"/>
          <w:sz w:val="24"/>
          <w:szCs w:val="24"/>
        </w:rPr>
        <w:t xml:space="preserve"> – Европейски фонд за регионално развитие (ЕФРР) </w:t>
      </w:r>
      <w:r w:rsidRPr="00AC35A6">
        <w:rPr>
          <w:rFonts w:ascii="Times New Roman" w:hAnsi="Times New Roman" w:cs="Times New Roman"/>
          <w:sz w:val="24"/>
          <w:szCs w:val="24"/>
        </w:rPr>
        <w:t>;</w:t>
      </w:r>
    </w:p>
    <w:p w:rsidR="00AC35A6" w:rsidRPr="00AC35A6" w:rsidRDefault="00AC35A6" w:rsidP="00265ABC">
      <w:pPr>
        <w:pStyle w:val="a7"/>
        <w:numPr>
          <w:ilvl w:val="0"/>
          <w:numId w:val="18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5A6">
        <w:rPr>
          <w:rFonts w:ascii="Times New Roman" w:hAnsi="Times New Roman" w:cs="Times New Roman"/>
          <w:sz w:val="24"/>
          <w:szCs w:val="24"/>
        </w:rPr>
        <w:t>общото лого за програмен период 2014-2020г., с наименованието "Оперативна програма "Околна среда 2014-2020 г.";</w:t>
      </w:r>
    </w:p>
    <w:p w:rsidR="00AC35A6" w:rsidRPr="00AC35A6" w:rsidRDefault="00AC35A6" w:rsidP="00265ABC">
      <w:pPr>
        <w:pStyle w:val="a7"/>
        <w:numPr>
          <w:ilvl w:val="0"/>
          <w:numId w:val="18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5A6">
        <w:rPr>
          <w:rFonts w:ascii="Times New Roman" w:hAnsi="Times New Roman" w:cs="Times New Roman"/>
          <w:sz w:val="24"/>
          <w:szCs w:val="24"/>
        </w:rPr>
        <w:t>адреса на единния информационен портал – www.eufunds.bg</w:t>
      </w:r>
    </w:p>
    <w:p w:rsidR="000E5DF5" w:rsidRDefault="000E5DF5">
      <w:pPr>
        <w:rPr>
          <w:rFonts w:ascii="Times New Roman" w:eastAsia="Times New Roman" w:hAnsi="Times New Roman"/>
          <w:sz w:val="24"/>
          <w:szCs w:val="24"/>
        </w:rPr>
      </w:pPr>
    </w:p>
    <w:p w:rsidR="00643A5F" w:rsidRPr="00B37B3A" w:rsidRDefault="002B557E" w:rsidP="00643A5F">
      <w:pPr>
        <w:widowControl w:val="0"/>
        <w:tabs>
          <w:tab w:val="left" w:pos="1243"/>
        </w:tabs>
        <w:autoSpaceDE w:val="0"/>
        <w:autoSpaceDN w:val="0"/>
        <w:spacing w:before="2"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B37B3A">
        <w:rPr>
          <w:rFonts w:ascii="Times New Roman" w:eastAsia="Times New Roman" w:hAnsi="Times New Roman" w:cs="Times New Roman"/>
          <w:b/>
          <w:i/>
          <w:sz w:val="24"/>
          <w:szCs w:val="24"/>
        </w:rPr>
        <w:t>При подписването на договора се съгласува индикативен график между ВЪЗЛОЖИТЕЛЯ и ИЗПЪЛНИТЕЛЯ за изпълнение на всяка една дейност</w:t>
      </w:r>
      <w:r w:rsidR="00B37B3A" w:rsidRPr="00B37B3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от предмета на поръчката.</w:t>
      </w:r>
    </w:p>
    <w:p w:rsidR="00643A5F" w:rsidRPr="003079D8" w:rsidRDefault="00643A5F" w:rsidP="00643A5F">
      <w:pPr>
        <w:widowControl w:val="0"/>
        <w:autoSpaceDE w:val="0"/>
        <w:autoSpaceDN w:val="0"/>
        <w:spacing w:after="0" w:line="240" w:lineRule="auto"/>
        <w:ind w:right="380"/>
        <w:jc w:val="both"/>
        <w:rPr>
          <w:rFonts w:ascii="Times New Roman" w:eastAsia="Times New Roman" w:hAnsi="Times New Roman" w:cs="Times New Roman"/>
          <w:i/>
          <w:sz w:val="24"/>
        </w:rPr>
      </w:pPr>
      <w:r w:rsidRPr="003079D8">
        <w:rPr>
          <w:rFonts w:ascii="Times New Roman" w:eastAsia="Times New Roman" w:hAnsi="Times New Roman" w:cs="Times New Roman"/>
          <w:b/>
          <w:sz w:val="24"/>
          <w:u w:val="single"/>
        </w:rPr>
        <w:t>Забележка:</w:t>
      </w:r>
      <w:r w:rsidRPr="003079D8">
        <w:rPr>
          <w:rFonts w:ascii="Times New Roman" w:eastAsia="Times New Roman" w:hAnsi="Times New Roman" w:cs="Times New Roman"/>
          <w:i/>
          <w:sz w:val="24"/>
        </w:rPr>
        <w:t>Единният наръчник на бенефициента за прилагане на правилата за информация и комуникация 2014-2020 г. е публикуван на следния интернет адрес:</w:t>
      </w:r>
    </w:p>
    <w:p w:rsidR="00643A5F" w:rsidRPr="003079D8" w:rsidRDefault="002F0EF3" w:rsidP="00643A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hyperlink r:id="rId10">
        <w:r w:rsidR="00643A5F" w:rsidRPr="00643A5F">
          <w:rPr>
            <w:rFonts w:ascii="Times New Roman" w:eastAsia="Times New Roman" w:hAnsi="Times New Roman" w:cs="Times New Roman"/>
            <w:i/>
            <w:color w:val="0000FF"/>
            <w:sz w:val="24"/>
            <w:u w:val="single" w:color="0000FF"/>
            <w:lang w:val="en-US"/>
          </w:rPr>
          <w:t>http</w:t>
        </w:r>
        <w:r w:rsidR="00643A5F" w:rsidRPr="003079D8">
          <w:rPr>
            <w:rFonts w:ascii="Times New Roman" w:eastAsia="Times New Roman" w:hAnsi="Times New Roman" w:cs="Times New Roman"/>
            <w:i/>
            <w:color w:val="0000FF"/>
            <w:sz w:val="24"/>
            <w:u w:val="single" w:color="0000FF"/>
          </w:rPr>
          <w:t>://</w:t>
        </w:r>
        <w:r w:rsidR="00643A5F" w:rsidRPr="00643A5F">
          <w:rPr>
            <w:rFonts w:ascii="Times New Roman" w:eastAsia="Times New Roman" w:hAnsi="Times New Roman" w:cs="Times New Roman"/>
            <w:i/>
            <w:color w:val="0000FF"/>
            <w:sz w:val="24"/>
            <w:u w:val="single" w:color="0000FF"/>
            <w:lang w:val="en-US"/>
          </w:rPr>
          <w:t>www</w:t>
        </w:r>
        <w:r w:rsidR="00643A5F" w:rsidRPr="003079D8">
          <w:rPr>
            <w:rFonts w:ascii="Times New Roman" w:eastAsia="Times New Roman" w:hAnsi="Times New Roman" w:cs="Times New Roman"/>
            <w:i/>
            <w:color w:val="0000FF"/>
            <w:sz w:val="24"/>
            <w:u w:val="single" w:color="0000FF"/>
          </w:rPr>
          <w:t>.</w:t>
        </w:r>
        <w:r w:rsidR="00643A5F" w:rsidRPr="00643A5F">
          <w:rPr>
            <w:rFonts w:ascii="Times New Roman" w:eastAsia="Times New Roman" w:hAnsi="Times New Roman" w:cs="Times New Roman"/>
            <w:i/>
            <w:color w:val="0000FF"/>
            <w:sz w:val="24"/>
            <w:u w:val="single" w:color="0000FF"/>
            <w:lang w:val="en-US"/>
          </w:rPr>
          <w:t>eufunds</w:t>
        </w:r>
        <w:r w:rsidR="00643A5F" w:rsidRPr="003079D8">
          <w:rPr>
            <w:rFonts w:ascii="Times New Roman" w:eastAsia="Times New Roman" w:hAnsi="Times New Roman" w:cs="Times New Roman"/>
            <w:i/>
            <w:color w:val="0000FF"/>
            <w:sz w:val="24"/>
            <w:u w:val="single" w:color="0000FF"/>
          </w:rPr>
          <w:t>.</w:t>
        </w:r>
        <w:r w:rsidR="00643A5F" w:rsidRPr="00643A5F">
          <w:rPr>
            <w:rFonts w:ascii="Times New Roman" w:eastAsia="Times New Roman" w:hAnsi="Times New Roman" w:cs="Times New Roman"/>
            <w:i/>
            <w:color w:val="0000FF"/>
            <w:sz w:val="24"/>
            <w:u w:val="single" w:color="0000FF"/>
            <w:lang w:val="en-US"/>
          </w:rPr>
          <w:t>bg</w:t>
        </w:r>
        <w:r w:rsidR="00643A5F" w:rsidRPr="003079D8">
          <w:rPr>
            <w:rFonts w:ascii="Times New Roman" w:eastAsia="Times New Roman" w:hAnsi="Times New Roman" w:cs="Times New Roman"/>
            <w:i/>
            <w:color w:val="0000FF"/>
            <w:sz w:val="24"/>
            <w:u w:val="single" w:color="0000FF"/>
          </w:rPr>
          <w:t>/</w:t>
        </w:r>
        <w:r w:rsidR="00643A5F" w:rsidRPr="00643A5F">
          <w:rPr>
            <w:rFonts w:ascii="Times New Roman" w:eastAsia="Times New Roman" w:hAnsi="Times New Roman" w:cs="Times New Roman"/>
            <w:i/>
            <w:color w:val="0000FF"/>
            <w:sz w:val="24"/>
            <w:u w:val="single" w:color="0000FF"/>
            <w:lang w:val="en-US"/>
          </w:rPr>
          <w:t>programen</w:t>
        </w:r>
        <w:r w:rsidR="00643A5F" w:rsidRPr="003079D8">
          <w:rPr>
            <w:rFonts w:ascii="Times New Roman" w:eastAsia="Times New Roman" w:hAnsi="Times New Roman" w:cs="Times New Roman"/>
            <w:i/>
            <w:color w:val="0000FF"/>
            <w:sz w:val="24"/>
            <w:u w:val="single" w:color="0000FF"/>
          </w:rPr>
          <w:t>-</w:t>
        </w:r>
        <w:r w:rsidR="00643A5F" w:rsidRPr="00643A5F">
          <w:rPr>
            <w:rFonts w:ascii="Times New Roman" w:eastAsia="Times New Roman" w:hAnsi="Times New Roman" w:cs="Times New Roman"/>
            <w:i/>
            <w:color w:val="0000FF"/>
            <w:sz w:val="24"/>
            <w:u w:val="single" w:color="0000FF"/>
            <w:lang w:val="en-US"/>
          </w:rPr>
          <w:t>period</w:t>
        </w:r>
        <w:r w:rsidR="00643A5F" w:rsidRPr="003079D8">
          <w:rPr>
            <w:rFonts w:ascii="Times New Roman" w:eastAsia="Times New Roman" w:hAnsi="Times New Roman" w:cs="Times New Roman"/>
            <w:i/>
            <w:color w:val="0000FF"/>
            <w:sz w:val="24"/>
            <w:u w:val="single" w:color="0000FF"/>
          </w:rPr>
          <w:t>-2014-2020/</w:t>
        </w:r>
        <w:r w:rsidR="00643A5F" w:rsidRPr="00643A5F">
          <w:rPr>
            <w:rFonts w:ascii="Times New Roman" w:eastAsia="Times New Roman" w:hAnsi="Times New Roman" w:cs="Times New Roman"/>
            <w:i/>
            <w:color w:val="0000FF"/>
            <w:sz w:val="24"/>
            <w:u w:val="single" w:color="0000FF"/>
            <w:lang w:val="en-US"/>
          </w:rPr>
          <w:t>natzionalna</w:t>
        </w:r>
        <w:r w:rsidR="00643A5F" w:rsidRPr="003079D8">
          <w:rPr>
            <w:rFonts w:ascii="Times New Roman" w:eastAsia="Times New Roman" w:hAnsi="Times New Roman" w:cs="Times New Roman"/>
            <w:i/>
            <w:color w:val="0000FF"/>
            <w:sz w:val="24"/>
            <w:u w:val="single" w:color="0000FF"/>
          </w:rPr>
          <w:t>-</w:t>
        </w:r>
        <w:r w:rsidR="00643A5F" w:rsidRPr="00643A5F">
          <w:rPr>
            <w:rFonts w:ascii="Times New Roman" w:eastAsia="Times New Roman" w:hAnsi="Times New Roman" w:cs="Times New Roman"/>
            <w:i/>
            <w:color w:val="0000FF"/>
            <w:sz w:val="24"/>
            <w:u w:val="single" w:color="0000FF"/>
            <w:lang w:val="en-US"/>
          </w:rPr>
          <w:t>komunikatzionna</w:t>
        </w:r>
        <w:r w:rsidR="00643A5F" w:rsidRPr="003079D8">
          <w:rPr>
            <w:rFonts w:ascii="Times New Roman" w:eastAsia="Times New Roman" w:hAnsi="Times New Roman" w:cs="Times New Roman"/>
            <w:i/>
            <w:color w:val="0000FF"/>
            <w:sz w:val="24"/>
            <w:u w:val="single" w:color="0000FF"/>
          </w:rPr>
          <w:t>-</w:t>
        </w:r>
        <w:r w:rsidR="00643A5F" w:rsidRPr="00643A5F">
          <w:rPr>
            <w:rFonts w:ascii="Times New Roman" w:eastAsia="Times New Roman" w:hAnsi="Times New Roman" w:cs="Times New Roman"/>
            <w:i/>
            <w:color w:val="0000FF"/>
            <w:sz w:val="24"/>
            <w:u w:val="single" w:color="0000FF"/>
            <w:lang w:val="en-US"/>
          </w:rPr>
          <w:t>strategiya</w:t>
        </w:r>
      </w:hyperlink>
    </w:p>
    <w:p w:rsidR="00643A5F" w:rsidRPr="003079D8" w:rsidRDefault="00643A5F" w:rsidP="00643A5F">
      <w:pPr>
        <w:widowControl w:val="0"/>
        <w:tabs>
          <w:tab w:val="left" w:pos="1243"/>
        </w:tabs>
        <w:autoSpaceDE w:val="0"/>
        <w:autoSpaceDN w:val="0"/>
        <w:spacing w:before="2"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43A5F" w:rsidRPr="003079D8" w:rsidRDefault="00643A5F" w:rsidP="00643A5F">
      <w:pPr>
        <w:widowControl w:val="0"/>
        <w:autoSpaceDE w:val="0"/>
        <w:autoSpaceDN w:val="0"/>
        <w:spacing w:before="90" w:after="0" w:line="240" w:lineRule="auto"/>
        <w:ind w:right="337"/>
        <w:jc w:val="both"/>
        <w:outlineLvl w:val="0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3079D8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Забележки:</w:t>
      </w:r>
      <w:r w:rsidR="006B0494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 xml:space="preserve"> </w:t>
      </w:r>
      <w:r w:rsidRPr="003079D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В съответствие с разпоредбите на чл. 48, ал. 2 от Закона за обществените поръчки в случай, че в настоящ</w:t>
      </w:r>
      <w:r w:rsidRPr="00643A5F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>a</w:t>
      </w:r>
      <w:r w:rsidRPr="003079D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та Техническа спецификация или в друг документ са посочени стандарт, спецификация, техническа оценка, техническо одобрение или технически еталон следва да се чете и разбира „ИЛИЕКВИВАЛЕНТНО/И”!</w:t>
      </w:r>
    </w:p>
    <w:p w:rsidR="00643A5F" w:rsidRPr="003079D8" w:rsidRDefault="00643A5F" w:rsidP="00643A5F">
      <w:pPr>
        <w:widowControl w:val="0"/>
        <w:autoSpaceDE w:val="0"/>
        <w:autoSpaceDN w:val="0"/>
        <w:spacing w:after="0" w:line="240" w:lineRule="auto"/>
        <w:ind w:right="338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3079D8">
        <w:rPr>
          <w:rFonts w:ascii="Times New Roman" w:eastAsia="Times New Roman" w:hAnsi="Times New Roman" w:cs="Times New Roman"/>
          <w:b/>
          <w:i/>
          <w:sz w:val="24"/>
        </w:rPr>
        <w:t>В съответствие с разпоредбите на чл. 49, ал. 2 от Закона за обществените поръчки в случай, че в настоящ</w:t>
      </w:r>
      <w:r w:rsidRPr="00643A5F">
        <w:rPr>
          <w:rFonts w:ascii="Times New Roman" w:eastAsia="Times New Roman" w:hAnsi="Times New Roman" w:cs="Times New Roman"/>
          <w:b/>
          <w:i/>
          <w:sz w:val="24"/>
          <w:lang w:val="en-US"/>
        </w:rPr>
        <w:t>a</w:t>
      </w:r>
      <w:r w:rsidRPr="003079D8">
        <w:rPr>
          <w:rFonts w:ascii="Times New Roman" w:eastAsia="Times New Roman" w:hAnsi="Times New Roman" w:cs="Times New Roman"/>
          <w:b/>
          <w:i/>
          <w:sz w:val="24"/>
        </w:rPr>
        <w:t xml:space="preserve">та Техническа спецификация или в друг документ са посочени – конкретен модел, източник или специфичен процес, който характеризира продуктите или услугите, предлагани от конкретен потенциален изпълнител, </w:t>
      </w:r>
      <w:r w:rsidRPr="003079D8">
        <w:rPr>
          <w:rFonts w:ascii="Times New Roman" w:eastAsia="Times New Roman" w:hAnsi="Times New Roman" w:cs="Times New Roman"/>
          <w:b/>
          <w:i/>
          <w:sz w:val="24"/>
        </w:rPr>
        <w:lastRenderedPageBreak/>
        <w:t>търговска марка, патент, тип</w:t>
      </w:r>
      <w:r w:rsidR="006B0494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 w:rsidRPr="003079D8">
        <w:rPr>
          <w:rFonts w:ascii="Times New Roman" w:eastAsia="Times New Roman" w:hAnsi="Times New Roman" w:cs="Times New Roman"/>
          <w:b/>
          <w:i/>
          <w:sz w:val="24"/>
        </w:rPr>
        <w:t>или</w:t>
      </w:r>
      <w:r w:rsidR="006B0494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 w:rsidRPr="003079D8">
        <w:rPr>
          <w:rFonts w:ascii="Times New Roman" w:eastAsia="Times New Roman" w:hAnsi="Times New Roman" w:cs="Times New Roman"/>
          <w:b/>
          <w:i/>
          <w:sz w:val="24"/>
        </w:rPr>
        <w:t>конкретен</w:t>
      </w:r>
      <w:r w:rsidR="006B0494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 w:rsidRPr="003079D8">
        <w:rPr>
          <w:rFonts w:ascii="Times New Roman" w:eastAsia="Times New Roman" w:hAnsi="Times New Roman" w:cs="Times New Roman"/>
          <w:b/>
          <w:i/>
          <w:sz w:val="24"/>
        </w:rPr>
        <w:t>произход</w:t>
      </w:r>
      <w:r w:rsidR="006B0494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 w:rsidRPr="003079D8">
        <w:rPr>
          <w:rFonts w:ascii="Times New Roman" w:eastAsia="Times New Roman" w:hAnsi="Times New Roman" w:cs="Times New Roman"/>
          <w:b/>
          <w:i/>
          <w:sz w:val="24"/>
        </w:rPr>
        <w:t>или</w:t>
      </w:r>
      <w:r w:rsidR="006B0494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 w:rsidRPr="003079D8">
        <w:rPr>
          <w:rFonts w:ascii="Times New Roman" w:eastAsia="Times New Roman" w:hAnsi="Times New Roman" w:cs="Times New Roman"/>
          <w:b/>
          <w:i/>
          <w:sz w:val="24"/>
        </w:rPr>
        <w:t>производство</w:t>
      </w:r>
      <w:r w:rsidR="006B0494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 w:rsidRPr="003079D8">
        <w:rPr>
          <w:rFonts w:ascii="Times New Roman" w:eastAsia="Times New Roman" w:hAnsi="Times New Roman" w:cs="Times New Roman"/>
          <w:b/>
          <w:i/>
          <w:sz w:val="24"/>
        </w:rPr>
        <w:t>следва</w:t>
      </w:r>
      <w:r w:rsidR="006B0494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 w:rsidRPr="003079D8">
        <w:rPr>
          <w:rFonts w:ascii="Times New Roman" w:eastAsia="Times New Roman" w:hAnsi="Times New Roman" w:cs="Times New Roman"/>
          <w:b/>
          <w:i/>
          <w:sz w:val="24"/>
        </w:rPr>
        <w:t>да</w:t>
      </w:r>
      <w:r w:rsidR="006B0494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 w:rsidRPr="003079D8">
        <w:rPr>
          <w:rFonts w:ascii="Times New Roman" w:eastAsia="Times New Roman" w:hAnsi="Times New Roman" w:cs="Times New Roman"/>
          <w:b/>
          <w:i/>
          <w:sz w:val="24"/>
        </w:rPr>
        <w:t>се</w:t>
      </w:r>
      <w:r w:rsidR="006B0494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 w:rsidRPr="003079D8">
        <w:rPr>
          <w:rFonts w:ascii="Times New Roman" w:eastAsia="Times New Roman" w:hAnsi="Times New Roman" w:cs="Times New Roman"/>
          <w:b/>
          <w:i/>
          <w:sz w:val="24"/>
        </w:rPr>
        <w:t>чете</w:t>
      </w:r>
      <w:r w:rsidR="006B0494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 w:rsidRPr="003079D8">
        <w:rPr>
          <w:rFonts w:ascii="Times New Roman" w:eastAsia="Times New Roman" w:hAnsi="Times New Roman" w:cs="Times New Roman"/>
          <w:b/>
          <w:i/>
          <w:sz w:val="24"/>
        </w:rPr>
        <w:t>и</w:t>
      </w:r>
      <w:r w:rsidR="006B0494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 w:rsidRPr="003079D8">
        <w:rPr>
          <w:rFonts w:ascii="Times New Roman" w:eastAsia="Times New Roman" w:hAnsi="Times New Roman" w:cs="Times New Roman"/>
          <w:b/>
          <w:i/>
          <w:sz w:val="24"/>
        </w:rPr>
        <w:t>разбира</w:t>
      </w:r>
      <w:r w:rsidR="006B0494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 w:rsidRPr="003079D8">
        <w:rPr>
          <w:rFonts w:ascii="Times New Roman" w:eastAsia="Times New Roman" w:hAnsi="Times New Roman" w:cs="Times New Roman"/>
          <w:b/>
          <w:i/>
          <w:sz w:val="24"/>
        </w:rPr>
        <w:t>„ИЛИ ЕКВИВАЛЕНТНО/И”!</w:t>
      </w:r>
    </w:p>
    <w:p w:rsidR="00643A5F" w:rsidRPr="003079D8" w:rsidRDefault="00643A5F" w:rsidP="00643A5F">
      <w:pPr>
        <w:widowControl w:val="0"/>
        <w:tabs>
          <w:tab w:val="left" w:pos="1243"/>
        </w:tabs>
        <w:autoSpaceDE w:val="0"/>
        <w:autoSpaceDN w:val="0"/>
        <w:spacing w:before="2"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157DA" w:rsidRPr="003079D8" w:rsidRDefault="000157DA" w:rsidP="000157D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74C7" w:rsidRPr="00EB3518" w:rsidRDefault="00D574C7" w:rsidP="000157DA">
      <w:pPr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EB351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IV. СРОК ЗА ИЗПЪЛНЕНИЕ НА ПОРЪЧКАТА </w:t>
      </w:r>
    </w:p>
    <w:p w:rsidR="00D574C7" w:rsidRPr="00EB3518" w:rsidRDefault="00D574C7" w:rsidP="00DC30C7">
      <w:pPr>
        <w:spacing w:before="60" w:after="0" w:line="276" w:lineRule="auto"/>
        <w:ind w:right="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351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Срокът за изпълнение на </w:t>
      </w:r>
      <w:r w:rsidR="00BF54E7" w:rsidRPr="00EB351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поръчката е </w:t>
      </w:r>
      <w:r w:rsidR="005872E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до 20.05.2020 г или до приключване на дейностите по проект </w:t>
      </w:r>
      <w:r w:rsidR="005872E2" w:rsidRPr="005872E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„Проектиране и изграждане на компостираща инсталация и инсталация за предварително третиране на битови отпадъци на територията на РДБО Мадан, за общините Мадан, Златоград и Неделино“, финансиран от Оперативна програма „Околна среда 2014 -2020 г“</w:t>
      </w:r>
      <w:r w:rsidR="005872E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</w:t>
      </w:r>
    </w:p>
    <w:p w:rsidR="008D73C2" w:rsidRDefault="00D574C7" w:rsidP="00DC30C7">
      <w:pPr>
        <w:spacing w:before="120" w:after="120" w:line="276" w:lineRule="auto"/>
        <w:ind w:right="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351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V. ОТЧИТАНЕ НА ИЗПЪЛНЕНИЕТО</w:t>
      </w:r>
    </w:p>
    <w:p w:rsidR="00497B78" w:rsidRPr="00497B78" w:rsidRDefault="00430015" w:rsidP="00817E10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Приемането на всяка една от дейностите се осъществява от Възложителя </w:t>
      </w:r>
      <w:r w:rsidRPr="00EB3518">
        <w:rPr>
          <w:rFonts w:ascii="Times New Roman" w:hAnsi="Times New Roman" w:cs="Times New Roman"/>
          <w:sz w:val="24"/>
          <w:szCs w:val="24"/>
        </w:rPr>
        <w:t>чрез опр</w:t>
      </w:r>
      <w:r>
        <w:rPr>
          <w:rFonts w:ascii="Times New Roman" w:hAnsi="Times New Roman" w:cs="Times New Roman"/>
          <w:sz w:val="24"/>
          <w:szCs w:val="24"/>
        </w:rPr>
        <w:t>еделен/и от него представител/и с подписването на приемо-предавателни протоколи. При отчитането на дейностите Изпълнителят трябва да представи на Възложителя доказателствен материал за предприетите мерки за информация и публичност: снимки, аудио-визуални материали, копия на статии, публик</w:t>
      </w:r>
      <w:r w:rsidR="00497B78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вани новини, линкове към уеб</w:t>
      </w:r>
      <w:r w:rsidR="00497B7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сайтове</w:t>
      </w:r>
      <w:r w:rsidR="00497B78">
        <w:rPr>
          <w:rFonts w:ascii="Times New Roman" w:hAnsi="Times New Roman" w:cs="Times New Roman"/>
          <w:sz w:val="24"/>
          <w:szCs w:val="24"/>
        </w:rPr>
        <w:t xml:space="preserve">, екземпляри от произведени и разпространени информационни материали, екземпляри от произведени и разпространени промоционални материали, присъствени списъци и друг доказателствен материал, ако е приложимо. </w:t>
      </w:r>
      <w:r w:rsidR="00497B78" w:rsidRPr="00497B78">
        <w:rPr>
          <w:rFonts w:ascii="Times New Roman" w:eastAsia="Times New Roman" w:hAnsi="Times New Roman" w:cs="Times New Roman"/>
          <w:sz w:val="24"/>
          <w:szCs w:val="24"/>
          <w:lang w:eastAsia="bg-BG"/>
        </w:rPr>
        <w:t>Индикативните документи, които следва да бъдат предоставяни от Изпълнителя на Възложителя за доказване на реалното изпълнение на дейността са:</w:t>
      </w:r>
    </w:p>
    <w:p w:rsidR="00497B78" w:rsidRPr="00497B78" w:rsidRDefault="00497B78" w:rsidP="00817E10">
      <w:pPr>
        <w:numPr>
          <w:ilvl w:val="1"/>
          <w:numId w:val="35"/>
        </w:numPr>
        <w:tabs>
          <w:tab w:val="clear" w:pos="1440"/>
          <w:tab w:val="num" w:pos="567"/>
        </w:tabs>
        <w:spacing w:after="0" w:line="276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7B78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печатни публикации - първа страница на изданието, заглавието на страницата и самата страница, където е разположена публикацията (ако е приложимо);</w:t>
      </w:r>
    </w:p>
    <w:p w:rsidR="00497B78" w:rsidRPr="00497B78" w:rsidRDefault="00497B78" w:rsidP="00817E10">
      <w:pPr>
        <w:numPr>
          <w:ilvl w:val="1"/>
          <w:numId w:val="35"/>
        </w:numPr>
        <w:tabs>
          <w:tab w:val="clear" w:pos="1440"/>
          <w:tab w:val="num" w:pos="567"/>
        </w:tabs>
        <w:spacing w:after="0" w:line="276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7B78">
        <w:rPr>
          <w:rFonts w:ascii="Times New Roman" w:eastAsia="Times New Roman" w:hAnsi="Times New Roman" w:cs="Times New Roman"/>
          <w:sz w:val="24"/>
          <w:szCs w:val="24"/>
          <w:lang w:eastAsia="bg-BG"/>
        </w:rPr>
        <w:t>Електронни публикации - разпечатка от електронната страница, съдържаща видима информация за медията, периода и самата публикация (screen shots);</w:t>
      </w:r>
    </w:p>
    <w:p w:rsidR="00497B78" w:rsidRPr="00497B78" w:rsidRDefault="00497B78" w:rsidP="00817E10">
      <w:pPr>
        <w:numPr>
          <w:ilvl w:val="1"/>
          <w:numId w:val="35"/>
        </w:numPr>
        <w:tabs>
          <w:tab w:val="clear" w:pos="1440"/>
          <w:tab w:val="num" w:pos="567"/>
        </w:tabs>
        <w:spacing w:after="0" w:line="276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7B78">
        <w:rPr>
          <w:rFonts w:ascii="Times New Roman" w:eastAsia="Times New Roman" w:hAnsi="Times New Roman" w:cs="Times New Roman"/>
          <w:sz w:val="24"/>
          <w:szCs w:val="24"/>
          <w:lang w:eastAsia="bg-BG"/>
        </w:rPr>
        <w:t>Пакет материали за участниците, вкл. цветно принтираните презентации;</w:t>
      </w:r>
    </w:p>
    <w:p w:rsidR="00497B78" w:rsidRPr="00497B78" w:rsidRDefault="00497B78" w:rsidP="00817E10">
      <w:pPr>
        <w:numPr>
          <w:ilvl w:val="1"/>
          <w:numId w:val="35"/>
        </w:numPr>
        <w:tabs>
          <w:tab w:val="clear" w:pos="1440"/>
          <w:tab w:val="num" w:pos="567"/>
        </w:tabs>
        <w:spacing w:after="0" w:line="276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7B78">
        <w:rPr>
          <w:rFonts w:ascii="Times New Roman" w:eastAsia="Times New Roman" w:hAnsi="Times New Roman" w:cs="Times New Roman"/>
          <w:sz w:val="24"/>
          <w:szCs w:val="24"/>
          <w:lang w:eastAsia="bg-BG"/>
        </w:rPr>
        <w:t>Списъци с участници, съдържащи трите имена, телефона, e-mail за контакти, име на организацията/институцията, която представляват и подпис на участниците;</w:t>
      </w:r>
    </w:p>
    <w:p w:rsidR="00497B78" w:rsidRPr="00497B78" w:rsidRDefault="00497B78" w:rsidP="00817E10">
      <w:pPr>
        <w:numPr>
          <w:ilvl w:val="1"/>
          <w:numId w:val="35"/>
        </w:numPr>
        <w:tabs>
          <w:tab w:val="clear" w:pos="1440"/>
          <w:tab w:val="num" w:pos="567"/>
        </w:tabs>
        <w:spacing w:after="0" w:line="276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7B78">
        <w:rPr>
          <w:rFonts w:ascii="Times New Roman" w:eastAsia="Times New Roman" w:hAnsi="Times New Roman" w:cs="Times New Roman"/>
          <w:sz w:val="24"/>
          <w:szCs w:val="24"/>
          <w:lang w:eastAsia="bg-BG"/>
        </w:rPr>
        <w:t>Снимки (зала, участници</w:t>
      </w:r>
      <w:r w:rsidRPr="005F3B70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497B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други);</w:t>
      </w:r>
    </w:p>
    <w:p w:rsidR="00497B78" w:rsidRPr="00497B78" w:rsidRDefault="00497B78" w:rsidP="00817E10">
      <w:pPr>
        <w:numPr>
          <w:ilvl w:val="1"/>
          <w:numId w:val="35"/>
        </w:numPr>
        <w:tabs>
          <w:tab w:val="clear" w:pos="1440"/>
          <w:tab w:val="num" w:pos="567"/>
        </w:tabs>
        <w:spacing w:after="0" w:line="276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7B78">
        <w:rPr>
          <w:rFonts w:ascii="Times New Roman" w:eastAsia="Times New Roman" w:hAnsi="Times New Roman" w:cs="Times New Roman"/>
          <w:sz w:val="24"/>
          <w:szCs w:val="24"/>
          <w:lang w:eastAsia="bg-BG"/>
        </w:rPr>
        <w:t>Доклад за провеждане на пресконференцията/събитието;</w:t>
      </w:r>
    </w:p>
    <w:p w:rsidR="00497B78" w:rsidRPr="00497B78" w:rsidRDefault="00497B78" w:rsidP="00817E10">
      <w:pPr>
        <w:numPr>
          <w:ilvl w:val="1"/>
          <w:numId w:val="35"/>
        </w:numPr>
        <w:tabs>
          <w:tab w:val="clear" w:pos="1440"/>
          <w:tab w:val="num" w:pos="567"/>
        </w:tabs>
        <w:spacing w:after="0" w:line="276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7B78">
        <w:rPr>
          <w:rFonts w:ascii="Times New Roman" w:eastAsia="Times New Roman" w:hAnsi="Times New Roman" w:cs="Times New Roman"/>
          <w:sz w:val="24"/>
          <w:szCs w:val="24"/>
          <w:lang w:eastAsia="bg-BG"/>
        </w:rPr>
        <w:t>Покани към участниците;</w:t>
      </w:r>
    </w:p>
    <w:p w:rsidR="00497B78" w:rsidRPr="00497B78" w:rsidRDefault="00497B78" w:rsidP="00817E10">
      <w:pPr>
        <w:numPr>
          <w:ilvl w:val="1"/>
          <w:numId w:val="35"/>
        </w:numPr>
        <w:tabs>
          <w:tab w:val="clear" w:pos="1440"/>
          <w:tab w:val="num" w:pos="567"/>
        </w:tabs>
        <w:spacing w:after="0" w:line="276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7B78">
        <w:rPr>
          <w:rFonts w:ascii="Times New Roman" w:eastAsia="Times New Roman" w:hAnsi="Times New Roman" w:cs="Times New Roman"/>
          <w:sz w:val="24"/>
          <w:szCs w:val="24"/>
          <w:lang w:eastAsia="bg-BG"/>
        </w:rPr>
        <w:t>Други документи за доказване на изпълнението на дейността;</w:t>
      </w:r>
    </w:p>
    <w:p w:rsidR="00497B78" w:rsidRDefault="00497B78" w:rsidP="00817E10">
      <w:pPr>
        <w:numPr>
          <w:ilvl w:val="1"/>
          <w:numId w:val="35"/>
        </w:numPr>
        <w:tabs>
          <w:tab w:val="clear" w:pos="1440"/>
          <w:tab w:val="num" w:pos="567"/>
        </w:tabs>
        <w:spacing w:after="0" w:line="276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7B78">
        <w:rPr>
          <w:rFonts w:ascii="Times New Roman" w:eastAsia="Times New Roman" w:hAnsi="Times New Roman" w:cs="Times New Roman"/>
          <w:sz w:val="24"/>
          <w:szCs w:val="24"/>
          <w:lang w:eastAsia="bg-BG"/>
        </w:rPr>
        <w:t>Снимков материал от постав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ени билбордове/табели, стикери </w:t>
      </w:r>
      <w:r w:rsidRPr="00497B78">
        <w:rPr>
          <w:rFonts w:ascii="Times New Roman" w:eastAsia="Times New Roman" w:hAnsi="Times New Roman" w:cs="Times New Roman"/>
          <w:sz w:val="24"/>
          <w:szCs w:val="24"/>
          <w:lang w:eastAsia="bg-BG"/>
        </w:rPr>
        <w:t>др.</w:t>
      </w:r>
    </w:p>
    <w:p w:rsidR="00497B78" w:rsidRDefault="00497B78" w:rsidP="00817E10">
      <w:pPr>
        <w:numPr>
          <w:ilvl w:val="1"/>
          <w:numId w:val="35"/>
        </w:numPr>
        <w:tabs>
          <w:tab w:val="clear" w:pos="1440"/>
          <w:tab w:val="num" w:pos="567"/>
        </w:tabs>
        <w:spacing w:after="0" w:line="276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Информационни печатни материали –стикери и др.</w:t>
      </w:r>
    </w:p>
    <w:p w:rsidR="00497B78" w:rsidRPr="00497B78" w:rsidRDefault="00497B78" w:rsidP="00817E10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</w:pPr>
      <w:r w:rsidRPr="00497B7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*Списъкът на документите не е изчерпателен, а индикативен. </w:t>
      </w:r>
    </w:p>
    <w:p w:rsidR="008D73C2" w:rsidRDefault="00497B78" w:rsidP="0099789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Окончателното приключване на договора се констатира със съставянето и подписването на окончателен  приемо-предавателен протокол.</w:t>
      </w:r>
    </w:p>
    <w:p w:rsidR="008D73C2" w:rsidRDefault="008D73C2" w:rsidP="00DC30C7">
      <w:pPr>
        <w:spacing w:before="120" w:after="120" w:line="276" w:lineRule="auto"/>
        <w:ind w:right="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22CAE" w:rsidRPr="00EB3518" w:rsidRDefault="00722CAE" w:rsidP="00DC30C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22CAE" w:rsidRPr="00EB3518" w:rsidSect="003C4CF0">
      <w:headerReference w:type="default" r:id="rId11"/>
      <w:footerReference w:type="default" r:id="rId12"/>
      <w:pgSz w:w="11906" w:h="16838"/>
      <w:pgMar w:top="1417" w:right="707" w:bottom="993" w:left="1417" w:header="708" w:footer="31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2213" w:rsidRDefault="00182213" w:rsidP="00D574C7">
      <w:pPr>
        <w:spacing w:after="0" w:line="240" w:lineRule="auto"/>
      </w:pPr>
      <w:r>
        <w:separator/>
      </w:r>
    </w:p>
  </w:endnote>
  <w:endnote w:type="continuationSeparator" w:id="1">
    <w:p w:rsidR="00182213" w:rsidRDefault="00182213" w:rsidP="00D57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96D" w:rsidRPr="00691FCD" w:rsidRDefault="00B1396D" w:rsidP="00B1396D">
    <w:pPr>
      <w:pStyle w:val="a5"/>
      <w:tabs>
        <w:tab w:val="clear" w:pos="9072"/>
        <w:tab w:val="right" w:pos="9639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2213" w:rsidRDefault="00182213" w:rsidP="00D574C7">
      <w:pPr>
        <w:spacing w:after="0" w:line="240" w:lineRule="auto"/>
      </w:pPr>
      <w:r>
        <w:separator/>
      </w:r>
    </w:p>
  </w:footnote>
  <w:footnote w:type="continuationSeparator" w:id="1">
    <w:p w:rsidR="00182213" w:rsidRDefault="00182213" w:rsidP="00D574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106" w:type="dxa"/>
      <w:jc w:val="center"/>
      <w:tblBorders>
        <w:top w:val="single" w:sz="4" w:space="0" w:color="auto"/>
      </w:tblBorders>
      <w:tblLook w:val="00A0"/>
    </w:tblPr>
    <w:tblGrid>
      <w:gridCol w:w="2786"/>
      <w:gridCol w:w="5944"/>
      <w:gridCol w:w="2376"/>
    </w:tblGrid>
    <w:tr w:rsidR="00B1396D" w:rsidRPr="009A16E2" w:rsidTr="00B1396D">
      <w:trPr>
        <w:cantSplit/>
        <w:trHeight w:val="1134"/>
        <w:jc w:val="center"/>
      </w:trPr>
      <w:tc>
        <w:tcPr>
          <w:tcW w:w="2802" w:type="dxa"/>
          <w:vAlign w:val="center"/>
          <w:hideMark/>
        </w:tcPr>
        <w:p w:rsidR="00B1396D" w:rsidRPr="009A16E2" w:rsidRDefault="00B1396D" w:rsidP="00B1396D">
          <w:pPr>
            <w:tabs>
              <w:tab w:val="center" w:pos="4536"/>
              <w:tab w:val="right" w:pos="8680"/>
            </w:tabs>
            <w:spacing w:after="30"/>
            <w:jc w:val="center"/>
            <w:rPr>
              <w:rFonts w:ascii="Arial" w:hAnsi="Arial" w:cs="Arial"/>
              <w:sz w:val="20"/>
              <w:szCs w:val="20"/>
              <w:lang w:eastAsia="fr-FR"/>
            </w:rPr>
          </w:pPr>
          <w:r>
            <w:rPr>
              <w:rFonts w:ascii="Arial" w:hAnsi="Arial" w:cs="Arial"/>
              <w:noProof/>
              <w:sz w:val="20"/>
              <w:szCs w:val="20"/>
              <w:lang w:eastAsia="bg-BG"/>
            </w:rPr>
            <w:drawing>
              <wp:inline distT="0" distB="0" distL="0" distR="0">
                <wp:extent cx="1028700" cy="693420"/>
                <wp:effectExtent l="19050" t="0" r="0" b="0"/>
                <wp:docPr id="23" name="Картина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693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B1396D" w:rsidRPr="009A16E2" w:rsidRDefault="00B1396D" w:rsidP="00B1396D">
          <w:pPr>
            <w:jc w:val="center"/>
            <w:rPr>
              <w:rFonts w:ascii="Arial" w:hAnsi="Arial" w:cs="Arial"/>
              <w:b/>
              <w:sz w:val="18"/>
              <w:szCs w:val="18"/>
              <w:lang w:eastAsia="fr-FR"/>
            </w:rPr>
          </w:pPr>
          <w:r w:rsidRPr="009A16E2">
            <w:rPr>
              <w:rFonts w:ascii="Arial" w:hAnsi="Arial" w:cs="Arial"/>
              <w:b/>
              <w:sz w:val="18"/>
              <w:szCs w:val="18"/>
              <w:lang w:eastAsia="fr-FR"/>
            </w:rPr>
            <w:t>ЕВРОПЕЙСКИ СЪЮЗ</w:t>
          </w:r>
        </w:p>
        <w:p w:rsidR="00B1396D" w:rsidRPr="009A16E2" w:rsidRDefault="00B1396D" w:rsidP="002948A9">
          <w:pPr>
            <w:jc w:val="center"/>
            <w:rPr>
              <w:rFonts w:ascii="Arial Narrow" w:hAnsi="Arial Narrow" w:cs="Arial Narrow"/>
            </w:rPr>
          </w:pPr>
          <w:r w:rsidRPr="009A16E2">
            <w:rPr>
              <w:rFonts w:ascii="Arial" w:hAnsi="Arial" w:cs="Arial"/>
              <w:b/>
              <w:sz w:val="18"/>
              <w:szCs w:val="18"/>
              <w:lang w:eastAsia="fr-FR"/>
            </w:rPr>
            <w:t>ЕВРОПЕЙСКИ ФОНД</w:t>
          </w:r>
          <w:r>
            <w:rPr>
              <w:rFonts w:ascii="Arial" w:hAnsi="Arial" w:cs="Arial"/>
              <w:b/>
              <w:sz w:val="18"/>
              <w:szCs w:val="18"/>
              <w:lang w:eastAsia="fr-FR"/>
            </w:rPr>
            <w:t xml:space="preserve"> ЗА РЕГИОНАЛНО РАЗВИТИЕ</w:t>
          </w:r>
        </w:p>
      </w:tc>
      <w:tc>
        <w:tcPr>
          <w:tcW w:w="6025" w:type="dxa"/>
          <w:vAlign w:val="center"/>
        </w:tcPr>
        <w:p w:rsidR="00B1396D" w:rsidRDefault="00B1396D" w:rsidP="00B1396D">
          <w:pPr>
            <w:overflowPunct w:val="0"/>
            <w:autoSpaceDE w:val="0"/>
            <w:autoSpaceDN w:val="0"/>
            <w:adjustRightInd w:val="0"/>
            <w:spacing w:after="0" w:line="240" w:lineRule="auto"/>
            <w:ind w:left="-93"/>
            <w:jc w:val="center"/>
            <w:textAlignment w:val="baseline"/>
            <w:rPr>
              <w:rFonts w:ascii="Arial Narrow" w:hAnsi="Arial Narrow" w:cs="Arial"/>
              <w:sz w:val="16"/>
              <w:szCs w:val="16"/>
            </w:rPr>
          </w:pPr>
          <w:r w:rsidRPr="00CE63AB">
            <w:rPr>
              <w:rFonts w:ascii="Arial Narrow" w:hAnsi="Arial Narrow" w:cs="Arial"/>
              <w:sz w:val="16"/>
              <w:szCs w:val="16"/>
            </w:rPr>
            <w:t>Административен договор за предоставяне</w:t>
          </w:r>
          <w:r>
            <w:rPr>
              <w:rFonts w:ascii="Arial Narrow" w:hAnsi="Arial Narrow" w:cs="Arial"/>
              <w:sz w:val="16"/>
              <w:szCs w:val="16"/>
            </w:rPr>
            <w:t xml:space="preserve"> на</w:t>
          </w:r>
          <w:r w:rsidRPr="00CE63AB">
            <w:rPr>
              <w:rFonts w:ascii="Arial Narrow" w:hAnsi="Arial Narrow" w:cs="Arial"/>
              <w:sz w:val="16"/>
              <w:szCs w:val="16"/>
            </w:rPr>
            <w:t xml:space="preserve"> БФП №BG16M1OP002-2.002-0015-C01 </w:t>
          </w:r>
        </w:p>
        <w:p w:rsidR="00B1396D" w:rsidRPr="00CE63AB" w:rsidRDefault="00B1396D" w:rsidP="00B1396D">
          <w:pPr>
            <w:overflowPunct w:val="0"/>
            <w:autoSpaceDE w:val="0"/>
            <w:autoSpaceDN w:val="0"/>
            <w:adjustRightInd w:val="0"/>
            <w:spacing w:after="0" w:line="240" w:lineRule="auto"/>
            <w:ind w:left="-93"/>
            <w:jc w:val="center"/>
            <w:textAlignment w:val="baseline"/>
            <w:rPr>
              <w:rFonts w:ascii="Arial Narrow" w:hAnsi="Arial Narrow" w:cs="Arial"/>
              <w:sz w:val="16"/>
              <w:szCs w:val="16"/>
              <w:lang w:val="ru-RU"/>
            </w:rPr>
          </w:pPr>
          <w:r w:rsidRPr="00CE63AB">
            <w:rPr>
              <w:rFonts w:ascii="Arial Narrow" w:hAnsi="Arial Narrow" w:cs="Arial"/>
              <w:sz w:val="16"/>
              <w:szCs w:val="16"/>
            </w:rPr>
            <w:t>за изпълнение на проект №BG16M1OP002-2.002-0015 „Проектиране и изграждане на компостираща инсталация и на инсталация за предварително третиране на битови отпадъци на територията на РДБО Мадан, за общините Мадан, Златоград и Неделино“ по процедура чрез директно предоставяне № BG16M1OP002-2.002 „Комбинирана процедура за проектиране и изграждане на компостиращи инсталации и на инсталации за предварително третиране на битови отпадъци“, по приоритетна ос 2 „Отпадъци” на Оперативна програма „Околна среда 2014-2020г.“,  съфинансирана от Европейския фонд за регионално развитие на Европейския съюз и Държавни</w:t>
          </w:r>
          <w:r>
            <w:rPr>
              <w:rFonts w:ascii="Arial Narrow" w:hAnsi="Arial Narrow" w:cs="Arial"/>
              <w:sz w:val="16"/>
              <w:szCs w:val="16"/>
            </w:rPr>
            <w:t xml:space="preserve">я бюджет на Република България, </w:t>
          </w:r>
          <w:r w:rsidRPr="00CE63AB">
            <w:rPr>
              <w:rFonts w:ascii="Arial Narrow" w:hAnsi="Arial Narrow" w:cs="Arial"/>
              <w:sz w:val="16"/>
              <w:szCs w:val="16"/>
            </w:rPr>
            <w:t>Конкретен Бенефициент Община Мадан – водеща община  и общини партньори – Златоград и Неделино</w:t>
          </w:r>
          <w:r w:rsidRPr="00CE63AB">
            <w:rPr>
              <w:rFonts w:ascii="Arial Narrow" w:hAnsi="Arial Narrow" w:cs="Arial"/>
              <w:sz w:val="16"/>
              <w:szCs w:val="16"/>
              <w:lang w:val="ru-RU"/>
            </w:rPr>
            <w:t>.</w:t>
          </w:r>
        </w:p>
        <w:p w:rsidR="00B1396D" w:rsidRPr="00CD65DB" w:rsidRDefault="002F0EF3" w:rsidP="00B1396D">
          <w:pPr>
            <w:pStyle w:val="a5"/>
            <w:spacing w:after="0" w:line="240" w:lineRule="auto"/>
            <w:jc w:val="center"/>
            <w:rPr>
              <w:rFonts w:ascii="Arial Narrow" w:hAnsi="Arial Narrow"/>
            </w:rPr>
          </w:pPr>
          <w:hyperlink r:id="rId2" w:history="1">
            <w:r w:rsidR="00B1396D" w:rsidRPr="00CE63AB">
              <w:rPr>
                <w:rFonts w:ascii="Arial Narrow" w:hAnsi="Arial Narrow" w:cs="Arial Narrow"/>
                <w:color w:val="0000FF"/>
                <w:sz w:val="16"/>
                <w:szCs w:val="16"/>
                <w:u w:val="single"/>
                <w:lang w:eastAsia="en-US"/>
              </w:rPr>
              <w:t>www.eufunds.bg</w:t>
            </w:r>
          </w:hyperlink>
        </w:p>
      </w:tc>
      <w:tc>
        <w:tcPr>
          <w:tcW w:w="2279" w:type="dxa"/>
          <w:vAlign w:val="center"/>
        </w:tcPr>
        <w:p w:rsidR="00B1396D" w:rsidRPr="009A16E2" w:rsidRDefault="00B1396D" w:rsidP="00B1396D">
          <w:pPr>
            <w:jc w:val="center"/>
            <w:rPr>
              <w:rFonts w:ascii="Tahoma" w:hAnsi="Tahoma" w:cs="Tahoma"/>
              <w:noProof/>
            </w:rPr>
          </w:pPr>
          <w:r>
            <w:rPr>
              <w:noProof/>
              <w:sz w:val="20"/>
              <w:szCs w:val="20"/>
              <w:lang w:eastAsia="bg-BG"/>
            </w:rPr>
            <w:drawing>
              <wp:inline distT="0" distB="0" distL="0" distR="0">
                <wp:extent cx="1348740" cy="1074420"/>
                <wp:effectExtent l="19050" t="0" r="3810" b="0"/>
                <wp:docPr id="24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8740" cy="1074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B1396D" w:rsidRPr="009A16E2" w:rsidRDefault="00B1396D" w:rsidP="00B1396D">
          <w:pPr>
            <w:jc w:val="center"/>
            <w:rPr>
              <w:rFonts w:ascii="Arial Narrow" w:hAnsi="Arial Narrow" w:cs="Arial Narrow"/>
            </w:rPr>
          </w:pPr>
          <w:r w:rsidRPr="00B94F77">
            <w:rPr>
              <w:rStyle w:val="aa"/>
              <w:rFonts w:ascii="Arial Narrow" w:hAnsi="Arial Narrow"/>
              <w:sz w:val="16"/>
              <w:szCs w:val="16"/>
            </w:rPr>
            <w:t xml:space="preserve">Стр. </w:t>
          </w:r>
          <w:r w:rsidR="002F0EF3" w:rsidRPr="00B94F77">
            <w:rPr>
              <w:rStyle w:val="aa"/>
              <w:rFonts w:ascii="Arial Narrow" w:hAnsi="Arial Narrow"/>
              <w:sz w:val="16"/>
              <w:szCs w:val="16"/>
            </w:rPr>
            <w:fldChar w:fldCharType="begin"/>
          </w:r>
          <w:r w:rsidRPr="00B94F77">
            <w:rPr>
              <w:rStyle w:val="aa"/>
              <w:rFonts w:ascii="Arial Narrow" w:hAnsi="Arial Narrow"/>
              <w:sz w:val="16"/>
              <w:szCs w:val="16"/>
            </w:rPr>
            <w:instrText xml:space="preserve"> PAGE </w:instrText>
          </w:r>
          <w:r w:rsidR="002F0EF3" w:rsidRPr="00B94F77">
            <w:rPr>
              <w:rStyle w:val="aa"/>
              <w:rFonts w:ascii="Arial Narrow" w:hAnsi="Arial Narrow"/>
              <w:sz w:val="16"/>
              <w:szCs w:val="16"/>
            </w:rPr>
            <w:fldChar w:fldCharType="separate"/>
          </w:r>
          <w:r w:rsidR="006B0494">
            <w:rPr>
              <w:rStyle w:val="aa"/>
              <w:rFonts w:ascii="Arial Narrow" w:hAnsi="Arial Narrow"/>
              <w:noProof/>
              <w:sz w:val="16"/>
              <w:szCs w:val="16"/>
            </w:rPr>
            <w:t>14</w:t>
          </w:r>
          <w:r w:rsidR="002F0EF3" w:rsidRPr="00B94F77">
            <w:rPr>
              <w:rStyle w:val="aa"/>
              <w:rFonts w:ascii="Arial Narrow" w:hAnsi="Arial Narrow"/>
              <w:sz w:val="16"/>
              <w:szCs w:val="16"/>
            </w:rPr>
            <w:fldChar w:fldCharType="end"/>
          </w:r>
          <w:r w:rsidRPr="00B94F77">
            <w:rPr>
              <w:rStyle w:val="aa"/>
              <w:rFonts w:ascii="Arial Narrow" w:hAnsi="Arial Narrow"/>
              <w:sz w:val="16"/>
              <w:szCs w:val="16"/>
            </w:rPr>
            <w:t xml:space="preserve"> от </w:t>
          </w:r>
          <w:r w:rsidR="002F0EF3" w:rsidRPr="00B94F77">
            <w:rPr>
              <w:rStyle w:val="aa"/>
              <w:rFonts w:ascii="Arial Narrow" w:hAnsi="Arial Narrow"/>
              <w:sz w:val="16"/>
              <w:szCs w:val="16"/>
            </w:rPr>
            <w:fldChar w:fldCharType="begin"/>
          </w:r>
          <w:r w:rsidRPr="00B94F77">
            <w:rPr>
              <w:rStyle w:val="aa"/>
              <w:rFonts w:ascii="Arial Narrow" w:hAnsi="Arial Narrow"/>
              <w:sz w:val="16"/>
              <w:szCs w:val="16"/>
            </w:rPr>
            <w:instrText xml:space="preserve"> NUMPAGES </w:instrText>
          </w:r>
          <w:r w:rsidR="002F0EF3" w:rsidRPr="00B94F77">
            <w:rPr>
              <w:rStyle w:val="aa"/>
              <w:rFonts w:ascii="Arial Narrow" w:hAnsi="Arial Narrow"/>
              <w:sz w:val="16"/>
              <w:szCs w:val="16"/>
            </w:rPr>
            <w:fldChar w:fldCharType="separate"/>
          </w:r>
          <w:r w:rsidR="006B0494">
            <w:rPr>
              <w:rStyle w:val="aa"/>
              <w:rFonts w:ascii="Arial Narrow" w:hAnsi="Arial Narrow"/>
              <w:noProof/>
              <w:sz w:val="16"/>
              <w:szCs w:val="16"/>
            </w:rPr>
            <w:t>14</w:t>
          </w:r>
          <w:r w:rsidR="002F0EF3" w:rsidRPr="00B94F77">
            <w:rPr>
              <w:rStyle w:val="aa"/>
              <w:rFonts w:ascii="Arial Narrow" w:hAnsi="Arial Narrow"/>
              <w:sz w:val="16"/>
              <w:szCs w:val="16"/>
            </w:rPr>
            <w:fldChar w:fldCharType="end"/>
          </w:r>
        </w:p>
      </w:tc>
    </w:tr>
  </w:tbl>
  <w:p w:rsidR="00B1396D" w:rsidRPr="00936AD7" w:rsidRDefault="00B1396D" w:rsidP="00FA0A49">
    <w:pPr>
      <w:pStyle w:val="a3"/>
      <w:rPr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E5D03"/>
    <w:multiLevelType w:val="hybridMultilevel"/>
    <w:tmpl w:val="A70AB7D8"/>
    <w:lvl w:ilvl="0" w:tplc="4E023BF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14738"/>
    <w:multiLevelType w:val="hybridMultilevel"/>
    <w:tmpl w:val="FA7644DC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2033DB"/>
    <w:multiLevelType w:val="hybridMultilevel"/>
    <w:tmpl w:val="E160B04E"/>
    <w:lvl w:ilvl="0" w:tplc="460248F8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935C01"/>
    <w:multiLevelType w:val="hybridMultilevel"/>
    <w:tmpl w:val="8A1619B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767D5B"/>
    <w:multiLevelType w:val="hybridMultilevel"/>
    <w:tmpl w:val="F67EF0FC"/>
    <w:lvl w:ilvl="0" w:tplc="4762C8D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FC0395"/>
    <w:multiLevelType w:val="hybridMultilevel"/>
    <w:tmpl w:val="BCD6100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E0CAC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304B69"/>
    <w:multiLevelType w:val="hybridMultilevel"/>
    <w:tmpl w:val="5EAECD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0547C1"/>
    <w:multiLevelType w:val="hybridMultilevel"/>
    <w:tmpl w:val="05446CAC"/>
    <w:lvl w:ilvl="0" w:tplc="0402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>
    <w:nsid w:val="158D716E"/>
    <w:multiLevelType w:val="hybridMultilevel"/>
    <w:tmpl w:val="A660454C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6C3C12"/>
    <w:multiLevelType w:val="hybridMultilevel"/>
    <w:tmpl w:val="DFD819B4"/>
    <w:lvl w:ilvl="0" w:tplc="510EF9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4F2715"/>
    <w:multiLevelType w:val="hybridMultilevel"/>
    <w:tmpl w:val="FA228338"/>
    <w:lvl w:ilvl="0" w:tplc="A36E40A2">
      <w:numFmt w:val="bullet"/>
      <w:lvlText w:val=""/>
      <w:lvlJc w:val="left"/>
      <w:pPr>
        <w:ind w:left="1257" w:hanging="347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D96ECD4E">
      <w:numFmt w:val="bullet"/>
      <w:lvlText w:val="•"/>
      <w:lvlJc w:val="left"/>
      <w:pPr>
        <w:ind w:left="2166" w:hanging="347"/>
      </w:pPr>
      <w:rPr>
        <w:rFonts w:hint="default"/>
      </w:rPr>
    </w:lvl>
    <w:lvl w:ilvl="2" w:tplc="D4CAC65E">
      <w:numFmt w:val="bullet"/>
      <w:lvlText w:val="•"/>
      <w:lvlJc w:val="left"/>
      <w:pPr>
        <w:ind w:left="3072" w:hanging="347"/>
      </w:pPr>
      <w:rPr>
        <w:rFonts w:hint="default"/>
      </w:rPr>
    </w:lvl>
    <w:lvl w:ilvl="3" w:tplc="A13E6E0C">
      <w:numFmt w:val="bullet"/>
      <w:lvlText w:val="•"/>
      <w:lvlJc w:val="left"/>
      <w:pPr>
        <w:ind w:left="3979" w:hanging="347"/>
      </w:pPr>
      <w:rPr>
        <w:rFonts w:hint="default"/>
      </w:rPr>
    </w:lvl>
    <w:lvl w:ilvl="4" w:tplc="21B451E2">
      <w:numFmt w:val="bullet"/>
      <w:lvlText w:val="•"/>
      <w:lvlJc w:val="left"/>
      <w:pPr>
        <w:ind w:left="4885" w:hanging="347"/>
      </w:pPr>
      <w:rPr>
        <w:rFonts w:hint="default"/>
      </w:rPr>
    </w:lvl>
    <w:lvl w:ilvl="5" w:tplc="E08282E2">
      <w:numFmt w:val="bullet"/>
      <w:lvlText w:val="•"/>
      <w:lvlJc w:val="left"/>
      <w:pPr>
        <w:ind w:left="5792" w:hanging="347"/>
      </w:pPr>
      <w:rPr>
        <w:rFonts w:hint="default"/>
      </w:rPr>
    </w:lvl>
    <w:lvl w:ilvl="6" w:tplc="B8F2B17E">
      <w:numFmt w:val="bullet"/>
      <w:lvlText w:val="•"/>
      <w:lvlJc w:val="left"/>
      <w:pPr>
        <w:ind w:left="6698" w:hanging="347"/>
      </w:pPr>
      <w:rPr>
        <w:rFonts w:hint="default"/>
      </w:rPr>
    </w:lvl>
    <w:lvl w:ilvl="7" w:tplc="E698F916">
      <w:numFmt w:val="bullet"/>
      <w:lvlText w:val="•"/>
      <w:lvlJc w:val="left"/>
      <w:pPr>
        <w:ind w:left="7604" w:hanging="347"/>
      </w:pPr>
      <w:rPr>
        <w:rFonts w:hint="default"/>
      </w:rPr>
    </w:lvl>
    <w:lvl w:ilvl="8" w:tplc="8E04A76A">
      <w:numFmt w:val="bullet"/>
      <w:lvlText w:val="•"/>
      <w:lvlJc w:val="left"/>
      <w:pPr>
        <w:ind w:left="8511" w:hanging="347"/>
      </w:pPr>
      <w:rPr>
        <w:rFonts w:hint="default"/>
      </w:rPr>
    </w:lvl>
  </w:abstractNum>
  <w:abstractNum w:abstractNumId="11">
    <w:nsid w:val="269D0B4C"/>
    <w:multiLevelType w:val="hybridMultilevel"/>
    <w:tmpl w:val="4000C5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DE3E7D"/>
    <w:multiLevelType w:val="hybridMultilevel"/>
    <w:tmpl w:val="E5021D8A"/>
    <w:lvl w:ilvl="0" w:tplc="DB362E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466F0A"/>
    <w:multiLevelType w:val="hybridMultilevel"/>
    <w:tmpl w:val="FCD62CA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FD62A8"/>
    <w:multiLevelType w:val="hybridMultilevel"/>
    <w:tmpl w:val="08C6018A"/>
    <w:lvl w:ilvl="0" w:tplc="B77CB6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417BCA"/>
    <w:multiLevelType w:val="hybridMultilevel"/>
    <w:tmpl w:val="A38E077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24693B"/>
    <w:multiLevelType w:val="hybridMultilevel"/>
    <w:tmpl w:val="FD7E6A4E"/>
    <w:lvl w:ilvl="0" w:tplc="3F48038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405E31"/>
    <w:multiLevelType w:val="hybridMultilevel"/>
    <w:tmpl w:val="705E6200"/>
    <w:lvl w:ilvl="0" w:tplc="25ACB674">
      <w:numFmt w:val="bullet"/>
      <w:lvlText w:val=""/>
      <w:lvlJc w:val="left"/>
      <w:pPr>
        <w:ind w:left="352" w:hanging="257"/>
      </w:pPr>
      <w:rPr>
        <w:rFonts w:ascii="Symbol" w:eastAsia="Symbol" w:hAnsi="Symbol" w:cs="Symbol" w:hint="default"/>
        <w:w w:val="99"/>
        <w:sz w:val="24"/>
        <w:szCs w:val="24"/>
      </w:rPr>
    </w:lvl>
    <w:lvl w:ilvl="1" w:tplc="FB0C8470">
      <w:numFmt w:val="bullet"/>
      <w:lvlText w:val=""/>
      <w:lvlJc w:val="left"/>
      <w:pPr>
        <w:ind w:left="1651" w:hanging="257"/>
      </w:pPr>
      <w:rPr>
        <w:rFonts w:ascii="Symbol" w:eastAsia="Symbol" w:hAnsi="Symbol" w:cs="Symbol" w:hint="default"/>
        <w:w w:val="99"/>
        <w:sz w:val="24"/>
        <w:szCs w:val="24"/>
      </w:rPr>
    </w:lvl>
    <w:lvl w:ilvl="2" w:tplc="5E9CE468">
      <w:numFmt w:val="bullet"/>
      <w:lvlText w:val="•"/>
      <w:lvlJc w:val="left"/>
      <w:pPr>
        <w:ind w:left="1660" w:hanging="257"/>
      </w:pPr>
      <w:rPr>
        <w:rFonts w:hint="default"/>
      </w:rPr>
    </w:lvl>
    <w:lvl w:ilvl="3" w:tplc="008AEB14">
      <w:numFmt w:val="bullet"/>
      <w:lvlText w:val="•"/>
      <w:lvlJc w:val="left"/>
      <w:pPr>
        <w:ind w:left="2780" w:hanging="257"/>
      </w:pPr>
      <w:rPr>
        <w:rFonts w:hint="default"/>
      </w:rPr>
    </w:lvl>
    <w:lvl w:ilvl="4" w:tplc="F00A7206">
      <w:numFmt w:val="bullet"/>
      <w:lvlText w:val="•"/>
      <w:lvlJc w:val="left"/>
      <w:pPr>
        <w:ind w:left="3900" w:hanging="257"/>
      </w:pPr>
      <w:rPr>
        <w:rFonts w:hint="default"/>
      </w:rPr>
    </w:lvl>
    <w:lvl w:ilvl="5" w:tplc="B12C63FE">
      <w:numFmt w:val="bullet"/>
      <w:lvlText w:val="•"/>
      <w:lvlJc w:val="left"/>
      <w:pPr>
        <w:ind w:left="5020" w:hanging="257"/>
      </w:pPr>
      <w:rPr>
        <w:rFonts w:hint="default"/>
      </w:rPr>
    </w:lvl>
    <w:lvl w:ilvl="6" w:tplc="778E2736">
      <w:numFmt w:val="bullet"/>
      <w:lvlText w:val="•"/>
      <w:lvlJc w:val="left"/>
      <w:pPr>
        <w:ind w:left="6140" w:hanging="257"/>
      </w:pPr>
      <w:rPr>
        <w:rFonts w:hint="default"/>
      </w:rPr>
    </w:lvl>
    <w:lvl w:ilvl="7" w:tplc="BCF2298A">
      <w:numFmt w:val="bullet"/>
      <w:lvlText w:val="•"/>
      <w:lvlJc w:val="left"/>
      <w:pPr>
        <w:ind w:left="7260" w:hanging="257"/>
      </w:pPr>
      <w:rPr>
        <w:rFonts w:hint="default"/>
      </w:rPr>
    </w:lvl>
    <w:lvl w:ilvl="8" w:tplc="DCF0801A">
      <w:numFmt w:val="bullet"/>
      <w:lvlText w:val="•"/>
      <w:lvlJc w:val="left"/>
      <w:pPr>
        <w:ind w:left="8380" w:hanging="257"/>
      </w:pPr>
      <w:rPr>
        <w:rFonts w:hint="default"/>
      </w:rPr>
    </w:lvl>
  </w:abstractNum>
  <w:abstractNum w:abstractNumId="18">
    <w:nsid w:val="461D7B96"/>
    <w:multiLevelType w:val="hybridMultilevel"/>
    <w:tmpl w:val="4A0E92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527A80"/>
    <w:multiLevelType w:val="hybridMultilevel"/>
    <w:tmpl w:val="A672CF6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64330C"/>
    <w:multiLevelType w:val="hybridMultilevel"/>
    <w:tmpl w:val="5D0AD946"/>
    <w:lvl w:ilvl="0" w:tplc="0622B444">
      <w:start w:val="5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6E1FEF"/>
    <w:multiLevelType w:val="hybridMultilevel"/>
    <w:tmpl w:val="8CA88BB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AE4296"/>
    <w:multiLevelType w:val="hybridMultilevel"/>
    <w:tmpl w:val="3D126CBE"/>
    <w:lvl w:ilvl="0" w:tplc="4C3E6A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7C11E8"/>
    <w:multiLevelType w:val="hybridMultilevel"/>
    <w:tmpl w:val="935A53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7E2576"/>
    <w:multiLevelType w:val="hybridMultilevel"/>
    <w:tmpl w:val="D242D14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A74BA9"/>
    <w:multiLevelType w:val="hybridMultilevel"/>
    <w:tmpl w:val="9BE6606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FF38B5"/>
    <w:multiLevelType w:val="hybridMultilevel"/>
    <w:tmpl w:val="80E8E340"/>
    <w:lvl w:ilvl="0" w:tplc="389AD9F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174510"/>
    <w:multiLevelType w:val="hybridMultilevel"/>
    <w:tmpl w:val="086EBC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4D5A36"/>
    <w:multiLevelType w:val="hybridMultilevel"/>
    <w:tmpl w:val="F2D204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352D8F"/>
    <w:multiLevelType w:val="hybridMultilevel"/>
    <w:tmpl w:val="1482154E"/>
    <w:lvl w:ilvl="0" w:tplc="CB3E87BE">
      <w:start w:val="5"/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B30AA4"/>
    <w:multiLevelType w:val="hybridMultilevel"/>
    <w:tmpl w:val="1F0202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140324"/>
    <w:multiLevelType w:val="hybridMultilevel"/>
    <w:tmpl w:val="9490065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BA22D0"/>
    <w:multiLevelType w:val="hybridMultilevel"/>
    <w:tmpl w:val="8678488E"/>
    <w:lvl w:ilvl="0" w:tplc="06287678">
      <w:numFmt w:val="bullet"/>
      <w:lvlText w:val=""/>
      <w:lvlJc w:val="left"/>
      <w:pPr>
        <w:ind w:left="1257" w:hanging="347"/>
      </w:pPr>
      <w:rPr>
        <w:rFonts w:ascii="Symbol" w:eastAsia="Symbol" w:hAnsi="Symbol" w:cs="Symbol" w:hint="default"/>
        <w:w w:val="100"/>
        <w:sz w:val="24"/>
        <w:szCs w:val="24"/>
      </w:rPr>
    </w:lvl>
    <w:lvl w:ilvl="1" w:tplc="4F18BC16">
      <w:numFmt w:val="bullet"/>
      <w:lvlText w:val="•"/>
      <w:lvlJc w:val="left"/>
      <w:pPr>
        <w:ind w:left="2166" w:hanging="347"/>
      </w:pPr>
      <w:rPr>
        <w:rFonts w:hint="default"/>
      </w:rPr>
    </w:lvl>
    <w:lvl w:ilvl="2" w:tplc="163439E2">
      <w:numFmt w:val="bullet"/>
      <w:lvlText w:val="•"/>
      <w:lvlJc w:val="left"/>
      <w:pPr>
        <w:ind w:left="3072" w:hanging="347"/>
      </w:pPr>
      <w:rPr>
        <w:rFonts w:hint="default"/>
      </w:rPr>
    </w:lvl>
    <w:lvl w:ilvl="3" w:tplc="DA8E2FC8">
      <w:numFmt w:val="bullet"/>
      <w:lvlText w:val="•"/>
      <w:lvlJc w:val="left"/>
      <w:pPr>
        <w:ind w:left="3979" w:hanging="347"/>
      </w:pPr>
      <w:rPr>
        <w:rFonts w:hint="default"/>
      </w:rPr>
    </w:lvl>
    <w:lvl w:ilvl="4" w:tplc="8862B5A8">
      <w:numFmt w:val="bullet"/>
      <w:lvlText w:val="•"/>
      <w:lvlJc w:val="left"/>
      <w:pPr>
        <w:ind w:left="4885" w:hanging="347"/>
      </w:pPr>
      <w:rPr>
        <w:rFonts w:hint="default"/>
      </w:rPr>
    </w:lvl>
    <w:lvl w:ilvl="5" w:tplc="99409C9E">
      <w:numFmt w:val="bullet"/>
      <w:lvlText w:val="•"/>
      <w:lvlJc w:val="left"/>
      <w:pPr>
        <w:ind w:left="5792" w:hanging="347"/>
      </w:pPr>
      <w:rPr>
        <w:rFonts w:hint="default"/>
      </w:rPr>
    </w:lvl>
    <w:lvl w:ilvl="6" w:tplc="D506D964">
      <w:numFmt w:val="bullet"/>
      <w:lvlText w:val="•"/>
      <w:lvlJc w:val="left"/>
      <w:pPr>
        <w:ind w:left="6698" w:hanging="347"/>
      </w:pPr>
      <w:rPr>
        <w:rFonts w:hint="default"/>
      </w:rPr>
    </w:lvl>
    <w:lvl w:ilvl="7" w:tplc="86A8424E">
      <w:numFmt w:val="bullet"/>
      <w:lvlText w:val="•"/>
      <w:lvlJc w:val="left"/>
      <w:pPr>
        <w:ind w:left="7604" w:hanging="347"/>
      </w:pPr>
      <w:rPr>
        <w:rFonts w:hint="default"/>
      </w:rPr>
    </w:lvl>
    <w:lvl w:ilvl="8" w:tplc="3A706AD4">
      <w:numFmt w:val="bullet"/>
      <w:lvlText w:val="•"/>
      <w:lvlJc w:val="left"/>
      <w:pPr>
        <w:ind w:left="8511" w:hanging="347"/>
      </w:pPr>
      <w:rPr>
        <w:rFonts w:hint="default"/>
      </w:rPr>
    </w:lvl>
  </w:abstractNum>
  <w:abstractNum w:abstractNumId="33">
    <w:nsid w:val="70292BD6"/>
    <w:multiLevelType w:val="hybridMultilevel"/>
    <w:tmpl w:val="DED06B7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16743D"/>
    <w:multiLevelType w:val="hybridMultilevel"/>
    <w:tmpl w:val="0D364DEC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4F5F13"/>
    <w:multiLevelType w:val="hybridMultilevel"/>
    <w:tmpl w:val="63B4545C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8B495D"/>
    <w:multiLevelType w:val="hybridMultilevel"/>
    <w:tmpl w:val="52B437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930426"/>
    <w:multiLevelType w:val="hybridMultilevel"/>
    <w:tmpl w:val="A7C24D8E"/>
    <w:lvl w:ilvl="0" w:tplc="C2C0D4E0">
      <w:start w:val="1"/>
      <w:numFmt w:val="decimal"/>
      <w:lvlText w:val="%1."/>
      <w:lvlJc w:val="left"/>
      <w:pPr>
        <w:ind w:left="1159" w:hanging="2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1332A26E">
      <w:start w:val="1"/>
      <w:numFmt w:val="decimal"/>
      <w:lvlText w:val="%2."/>
      <w:lvlJc w:val="left"/>
      <w:pPr>
        <w:ind w:left="777" w:hanging="27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F0E8AF38">
      <w:numFmt w:val="bullet"/>
      <w:lvlText w:val=""/>
      <w:lvlJc w:val="left"/>
      <w:pPr>
        <w:ind w:left="1252" w:hanging="802"/>
      </w:pPr>
      <w:rPr>
        <w:rFonts w:ascii="Symbol" w:eastAsia="Symbol" w:hAnsi="Symbol" w:cs="Symbol" w:hint="default"/>
        <w:w w:val="99"/>
        <w:sz w:val="24"/>
        <w:szCs w:val="24"/>
      </w:rPr>
    </w:lvl>
    <w:lvl w:ilvl="3" w:tplc="6538A280">
      <w:numFmt w:val="bullet"/>
      <w:lvlText w:val="•"/>
      <w:lvlJc w:val="left"/>
      <w:pPr>
        <w:ind w:left="2430" w:hanging="802"/>
      </w:pPr>
      <w:rPr>
        <w:rFonts w:hint="default"/>
      </w:rPr>
    </w:lvl>
    <w:lvl w:ilvl="4" w:tplc="79F8AC60">
      <w:numFmt w:val="bullet"/>
      <w:lvlText w:val="•"/>
      <w:lvlJc w:val="left"/>
      <w:pPr>
        <w:ind w:left="3600" w:hanging="802"/>
      </w:pPr>
      <w:rPr>
        <w:rFonts w:hint="default"/>
      </w:rPr>
    </w:lvl>
    <w:lvl w:ilvl="5" w:tplc="8CE6CF56">
      <w:numFmt w:val="bullet"/>
      <w:lvlText w:val="•"/>
      <w:lvlJc w:val="left"/>
      <w:pPr>
        <w:ind w:left="4770" w:hanging="802"/>
      </w:pPr>
      <w:rPr>
        <w:rFonts w:hint="default"/>
      </w:rPr>
    </w:lvl>
    <w:lvl w:ilvl="6" w:tplc="C0BC6C9A">
      <w:numFmt w:val="bullet"/>
      <w:lvlText w:val="•"/>
      <w:lvlJc w:val="left"/>
      <w:pPr>
        <w:ind w:left="5940" w:hanging="802"/>
      </w:pPr>
      <w:rPr>
        <w:rFonts w:hint="default"/>
      </w:rPr>
    </w:lvl>
    <w:lvl w:ilvl="7" w:tplc="EAF2FF8A">
      <w:numFmt w:val="bullet"/>
      <w:lvlText w:val="•"/>
      <w:lvlJc w:val="left"/>
      <w:pPr>
        <w:ind w:left="7110" w:hanging="802"/>
      </w:pPr>
      <w:rPr>
        <w:rFonts w:hint="default"/>
      </w:rPr>
    </w:lvl>
    <w:lvl w:ilvl="8" w:tplc="F484208C">
      <w:numFmt w:val="bullet"/>
      <w:lvlText w:val="•"/>
      <w:lvlJc w:val="left"/>
      <w:pPr>
        <w:ind w:left="8280" w:hanging="802"/>
      </w:pPr>
      <w:rPr>
        <w:rFonts w:hint="default"/>
      </w:rPr>
    </w:lvl>
  </w:abstractNum>
  <w:abstractNum w:abstractNumId="38">
    <w:nsid w:val="7983653C"/>
    <w:multiLevelType w:val="hybridMultilevel"/>
    <w:tmpl w:val="08005B8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A602AE"/>
    <w:multiLevelType w:val="hybridMultilevel"/>
    <w:tmpl w:val="E4B46A4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8"/>
  </w:num>
  <w:num w:numId="4">
    <w:abstractNumId w:val="28"/>
  </w:num>
  <w:num w:numId="5">
    <w:abstractNumId w:val="0"/>
  </w:num>
  <w:num w:numId="6">
    <w:abstractNumId w:val="8"/>
  </w:num>
  <w:num w:numId="7">
    <w:abstractNumId w:val="25"/>
  </w:num>
  <w:num w:numId="8">
    <w:abstractNumId w:val="24"/>
  </w:num>
  <w:num w:numId="9">
    <w:abstractNumId w:val="31"/>
  </w:num>
  <w:num w:numId="10">
    <w:abstractNumId w:val="30"/>
  </w:num>
  <w:num w:numId="11">
    <w:abstractNumId w:val="23"/>
  </w:num>
  <w:num w:numId="12">
    <w:abstractNumId w:val="26"/>
  </w:num>
  <w:num w:numId="13">
    <w:abstractNumId w:val="13"/>
  </w:num>
  <w:num w:numId="14">
    <w:abstractNumId w:val="38"/>
  </w:num>
  <w:num w:numId="15">
    <w:abstractNumId w:val="27"/>
  </w:num>
  <w:num w:numId="16">
    <w:abstractNumId w:val="12"/>
  </w:num>
  <w:num w:numId="17">
    <w:abstractNumId w:val="36"/>
  </w:num>
  <w:num w:numId="18">
    <w:abstractNumId w:val="7"/>
  </w:num>
  <w:num w:numId="19">
    <w:abstractNumId w:val="34"/>
  </w:num>
  <w:num w:numId="20">
    <w:abstractNumId w:val="21"/>
  </w:num>
  <w:num w:numId="21">
    <w:abstractNumId w:val="19"/>
  </w:num>
  <w:num w:numId="22">
    <w:abstractNumId w:val="37"/>
  </w:num>
  <w:num w:numId="23">
    <w:abstractNumId w:val="17"/>
  </w:num>
  <w:num w:numId="24">
    <w:abstractNumId w:val="35"/>
  </w:num>
  <w:num w:numId="25">
    <w:abstractNumId w:val="6"/>
  </w:num>
  <w:num w:numId="26">
    <w:abstractNumId w:val="9"/>
  </w:num>
  <w:num w:numId="27">
    <w:abstractNumId w:val="1"/>
  </w:num>
  <w:num w:numId="28">
    <w:abstractNumId w:val="32"/>
  </w:num>
  <w:num w:numId="29">
    <w:abstractNumId w:val="39"/>
  </w:num>
  <w:num w:numId="30">
    <w:abstractNumId w:val="3"/>
  </w:num>
  <w:num w:numId="31">
    <w:abstractNumId w:val="15"/>
  </w:num>
  <w:num w:numId="32">
    <w:abstractNumId w:val="11"/>
  </w:num>
  <w:num w:numId="33">
    <w:abstractNumId w:val="10"/>
  </w:num>
  <w:num w:numId="34">
    <w:abstractNumId w:val="33"/>
  </w:num>
  <w:num w:numId="35">
    <w:abstractNumId w:val="5"/>
  </w:num>
  <w:num w:numId="36">
    <w:abstractNumId w:val="14"/>
  </w:num>
  <w:num w:numId="37">
    <w:abstractNumId w:val="16"/>
  </w:num>
  <w:num w:numId="38">
    <w:abstractNumId w:val="29"/>
  </w:num>
  <w:num w:numId="39">
    <w:abstractNumId w:val="20"/>
  </w:num>
  <w:num w:numId="4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D574C7"/>
    <w:rsid w:val="000062C4"/>
    <w:rsid w:val="000157DA"/>
    <w:rsid w:val="0005163E"/>
    <w:rsid w:val="000533D4"/>
    <w:rsid w:val="00064C65"/>
    <w:rsid w:val="000728A3"/>
    <w:rsid w:val="00086961"/>
    <w:rsid w:val="000872C3"/>
    <w:rsid w:val="00096E4B"/>
    <w:rsid w:val="000A3C70"/>
    <w:rsid w:val="000B0647"/>
    <w:rsid w:val="000E5DF5"/>
    <w:rsid w:val="000F0457"/>
    <w:rsid w:val="001146D0"/>
    <w:rsid w:val="00120326"/>
    <w:rsid w:val="00123729"/>
    <w:rsid w:val="00145A62"/>
    <w:rsid w:val="00156CC6"/>
    <w:rsid w:val="001631CF"/>
    <w:rsid w:val="00182213"/>
    <w:rsid w:val="001824FD"/>
    <w:rsid w:val="001E7BA6"/>
    <w:rsid w:val="001F3A20"/>
    <w:rsid w:val="00206043"/>
    <w:rsid w:val="002301EA"/>
    <w:rsid w:val="00247AD9"/>
    <w:rsid w:val="00255AB6"/>
    <w:rsid w:val="00265ABC"/>
    <w:rsid w:val="00290D86"/>
    <w:rsid w:val="002948A9"/>
    <w:rsid w:val="002963EE"/>
    <w:rsid w:val="00297D9A"/>
    <w:rsid w:val="002A48F8"/>
    <w:rsid w:val="002A6469"/>
    <w:rsid w:val="002B557E"/>
    <w:rsid w:val="002D728A"/>
    <w:rsid w:val="002F0EF3"/>
    <w:rsid w:val="002F7AE7"/>
    <w:rsid w:val="003017C3"/>
    <w:rsid w:val="00301D3B"/>
    <w:rsid w:val="003079D8"/>
    <w:rsid w:val="0031133D"/>
    <w:rsid w:val="003212FA"/>
    <w:rsid w:val="00322346"/>
    <w:rsid w:val="00327226"/>
    <w:rsid w:val="00331747"/>
    <w:rsid w:val="0033555C"/>
    <w:rsid w:val="00345409"/>
    <w:rsid w:val="00351B0D"/>
    <w:rsid w:val="00387542"/>
    <w:rsid w:val="003A2AFF"/>
    <w:rsid w:val="003C4CF0"/>
    <w:rsid w:val="00407A60"/>
    <w:rsid w:val="004215C0"/>
    <w:rsid w:val="00422BA2"/>
    <w:rsid w:val="00430015"/>
    <w:rsid w:val="0045251F"/>
    <w:rsid w:val="00467F99"/>
    <w:rsid w:val="004871E5"/>
    <w:rsid w:val="00497B78"/>
    <w:rsid w:val="004A1689"/>
    <w:rsid w:val="004A7741"/>
    <w:rsid w:val="004E0D06"/>
    <w:rsid w:val="004E5DA0"/>
    <w:rsid w:val="004F01E4"/>
    <w:rsid w:val="004F2DB0"/>
    <w:rsid w:val="004F577B"/>
    <w:rsid w:val="00502923"/>
    <w:rsid w:val="00503D29"/>
    <w:rsid w:val="00517FF3"/>
    <w:rsid w:val="00537DCB"/>
    <w:rsid w:val="00543830"/>
    <w:rsid w:val="00550966"/>
    <w:rsid w:val="00572A36"/>
    <w:rsid w:val="0058378E"/>
    <w:rsid w:val="005872E2"/>
    <w:rsid w:val="005A1A68"/>
    <w:rsid w:val="005A7FB0"/>
    <w:rsid w:val="005E5D1F"/>
    <w:rsid w:val="005E6CDB"/>
    <w:rsid w:val="005F3B70"/>
    <w:rsid w:val="00607292"/>
    <w:rsid w:val="00614239"/>
    <w:rsid w:val="006155AD"/>
    <w:rsid w:val="0064256D"/>
    <w:rsid w:val="00643A5F"/>
    <w:rsid w:val="006808E6"/>
    <w:rsid w:val="00693E5B"/>
    <w:rsid w:val="00697BFC"/>
    <w:rsid w:val="006B0494"/>
    <w:rsid w:val="006B6C7F"/>
    <w:rsid w:val="006C11C3"/>
    <w:rsid w:val="006F5B5B"/>
    <w:rsid w:val="00720BA2"/>
    <w:rsid w:val="00722CAE"/>
    <w:rsid w:val="00740D12"/>
    <w:rsid w:val="00757EA8"/>
    <w:rsid w:val="0077118A"/>
    <w:rsid w:val="00777BC7"/>
    <w:rsid w:val="0078188C"/>
    <w:rsid w:val="00782A52"/>
    <w:rsid w:val="00784C2B"/>
    <w:rsid w:val="007860F3"/>
    <w:rsid w:val="007A2779"/>
    <w:rsid w:val="007A47F6"/>
    <w:rsid w:val="007A6B7C"/>
    <w:rsid w:val="007B0A9D"/>
    <w:rsid w:val="007F6FC9"/>
    <w:rsid w:val="00805BB2"/>
    <w:rsid w:val="008133EC"/>
    <w:rsid w:val="00814423"/>
    <w:rsid w:val="00817E10"/>
    <w:rsid w:val="00834095"/>
    <w:rsid w:val="0085543D"/>
    <w:rsid w:val="00863097"/>
    <w:rsid w:val="00871F26"/>
    <w:rsid w:val="008730E7"/>
    <w:rsid w:val="008C73E1"/>
    <w:rsid w:val="008D28C8"/>
    <w:rsid w:val="008D5FF3"/>
    <w:rsid w:val="008D73C2"/>
    <w:rsid w:val="008E4AF0"/>
    <w:rsid w:val="009057F8"/>
    <w:rsid w:val="00934161"/>
    <w:rsid w:val="00936AD7"/>
    <w:rsid w:val="00937FD4"/>
    <w:rsid w:val="0095689A"/>
    <w:rsid w:val="009904DF"/>
    <w:rsid w:val="009913B0"/>
    <w:rsid w:val="00992FD7"/>
    <w:rsid w:val="00997896"/>
    <w:rsid w:val="009A2CE6"/>
    <w:rsid w:val="009B21FF"/>
    <w:rsid w:val="009C3E73"/>
    <w:rsid w:val="00A23160"/>
    <w:rsid w:val="00A304BB"/>
    <w:rsid w:val="00A35EFE"/>
    <w:rsid w:val="00A46C6B"/>
    <w:rsid w:val="00A46FCA"/>
    <w:rsid w:val="00A54EB7"/>
    <w:rsid w:val="00A57396"/>
    <w:rsid w:val="00A575DC"/>
    <w:rsid w:val="00A84506"/>
    <w:rsid w:val="00AA07A5"/>
    <w:rsid w:val="00AB0D84"/>
    <w:rsid w:val="00AB5AC3"/>
    <w:rsid w:val="00AC35A6"/>
    <w:rsid w:val="00AE1A41"/>
    <w:rsid w:val="00B018A6"/>
    <w:rsid w:val="00B0712B"/>
    <w:rsid w:val="00B12DE9"/>
    <w:rsid w:val="00B1396D"/>
    <w:rsid w:val="00B13FF2"/>
    <w:rsid w:val="00B16FD3"/>
    <w:rsid w:val="00B37B3A"/>
    <w:rsid w:val="00B44D39"/>
    <w:rsid w:val="00B4687B"/>
    <w:rsid w:val="00B52B3B"/>
    <w:rsid w:val="00B67669"/>
    <w:rsid w:val="00B71341"/>
    <w:rsid w:val="00B73D60"/>
    <w:rsid w:val="00B81314"/>
    <w:rsid w:val="00B858BD"/>
    <w:rsid w:val="00BB74C2"/>
    <w:rsid w:val="00BC322C"/>
    <w:rsid w:val="00BD7B8C"/>
    <w:rsid w:val="00BE46E7"/>
    <w:rsid w:val="00BF3AE7"/>
    <w:rsid w:val="00BF54E7"/>
    <w:rsid w:val="00C3434F"/>
    <w:rsid w:val="00C531F1"/>
    <w:rsid w:val="00C65A57"/>
    <w:rsid w:val="00C83871"/>
    <w:rsid w:val="00CC08B1"/>
    <w:rsid w:val="00D20301"/>
    <w:rsid w:val="00D215B3"/>
    <w:rsid w:val="00D27675"/>
    <w:rsid w:val="00D44852"/>
    <w:rsid w:val="00D4601B"/>
    <w:rsid w:val="00D574C7"/>
    <w:rsid w:val="00D657E0"/>
    <w:rsid w:val="00D8051C"/>
    <w:rsid w:val="00D83EE9"/>
    <w:rsid w:val="00D86436"/>
    <w:rsid w:val="00DA17A3"/>
    <w:rsid w:val="00DC30C7"/>
    <w:rsid w:val="00DE38BF"/>
    <w:rsid w:val="00E16C37"/>
    <w:rsid w:val="00E2193E"/>
    <w:rsid w:val="00E34979"/>
    <w:rsid w:val="00E3761F"/>
    <w:rsid w:val="00E45D32"/>
    <w:rsid w:val="00E63A8B"/>
    <w:rsid w:val="00E66528"/>
    <w:rsid w:val="00EB3518"/>
    <w:rsid w:val="00EC1840"/>
    <w:rsid w:val="00ED741D"/>
    <w:rsid w:val="00EE78B8"/>
    <w:rsid w:val="00F02E6C"/>
    <w:rsid w:val="00F14B76"/>
    <w:rsid w:val="00F42FF1"/>
    <w:rsid w:val="00F47BF5"/>
    <w:rsid w:val="00F773B5"/>
    <w:rsid w:val="00F92D95"/>
    <w:rsid w:val="00FA0A49"/>
    <w:rsid w:val="00FA4EDA"/>
    <w:rsid w:val="00FB0555"/>
    <w:rsid w:val="00FB4A19"/>
    <w:rsid w:val="00FB51C0"/>
    <w:rsid w:val="00FB60F2"/>
    <w:rsid w:val="00FD4A06"/>
    <w:rsid w:val="00FF5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7A3"/>
  </w:style>
  <w:style w:type="paragraph" w:styleId="1">
    <w:name w:val="heading 1"/>
    <w:basedOn w:val="a"/>
    <w:next w:val="a"/>
    <w:link w:val="10"/>
    <w:uiPriority w:val="9"/>
    <w:qFormat/>
    <w:rsid w:val="000157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74C7"/>
    <w:pPr>
      <w:tabs>
        <w:tab w:val="center" w:pos="4536"/>
        <w:tab w:val="right" w:pos="9072"/>
      </w:tabs>
      <w:spacing w:after="200" w:line="276" w:lineRule="auto"/>
    </w:pPr>
    <w:rPr>
      <w:rFonts w:ascii="Calibri" w:eastAsia="SimSun" w:hAnsi="Calibri" w:cs="Times New Roman"/>
      <w:lang w:eastAsia="zh-CN"/>
    </w:rPr>
  </w:style>
  <w:style w:type="character" w:customStyle="1" w:styleId="a4">
    <w:name w:val="Горен колонтитул Знак"/>
    <w:basedOn w:val="a0"/>
    <w:link w:val="a3"/>
    <w:uiPriority w:val="99"/>
    <w:rsid w:val="00D574C7"/>
    <w:rPr>
      <w:rFonts w:ascii="Calibri" w:eastAsia="SimSun" w:hAnsi="Calibri" w:cs="Times New Roman"/>
      <w:lang w:eastAsia="zh-CN"/>
    </w:rPr>
  </w:style>
  <w:style w:type="paragraph" w:styleId="a5">
    <w:name w:val="footer"/>
    <w:basedOn w:val="a"/>
    <w:link w:val="a6"/>
    <w:uiPriority w:val="99"/>
    <w:unhideWhenUsed/>
    <w:rsid w:val="00D574C7"/>
    <w:pPr>
      <w:tabs>
        <w:tab w:val="center" w:pos="4536"/>
        <w:tab w:val="right" w:pos="9072"/>
      </w:tabs>
      <w:spacing w:after="200" w:line="276" w:lineRule="auto"/>
    </w:pPr>
    <w:rPr>
      <w:rFonts w:ascii="Calibri" w:eastAsia="SimSun" w:hAnsi="Calibri" w:cs="Times New Roman"/>
      <w:lang w:eastAsia="zh-CN"/>
    </w:rPr>
  </w:style>
  <w:style w:type="character" w:customStyle="1" w:styleId="a6">
    <w:name w:val="Долен колонтитул Знак"/>
    <w:basedOn w:val="a0"/>
    <w:link w:val="a5"/>
    <w:uiPriority w:val="99"/>
    <w:rsid w:val="00D574C7"/>
    <w:rPr>
      <w:rFonts w:ascii="Calibri" w:eastAsia="SimSun" w:hAnsi="Calibri" w:cs="Times New Roman"/>
      <w:lang w:eastAsia="zh-CN"/>
    </w:rPr>
  </w:style>
  <w:style w:type="paragraph" w:styleId="a7">
    <w:name w:val="List Paragraph"/>
    <w:basedOn w:val="a"/>
    <w:uiPriority w:val="34"/>
    <w:qFormat/>
    <w:rsid w:val="00C65A5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46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A46FCA"/>
    <w:rPr>
      <w:rFonts w:ascii="Tahoma" w:hAnsi="Tahoma" w:cs="Tahoma"/>
      <w:sz w:val="16"/>
      <w:szCs w:val="16"/>
    </w:rPr>
  </w:style>
  <w:style w:type="character" w:styleId="aa">
    <w:name w:val="page number"/>
    <w:rsid w:val="00936AD7"/>
    <w:rPr>
      <w:rFonts w:cs="Times New Roman"/>
    </w:rPr>
  </w:style>
  <w:style w:type="paragraph" w:customStyle="1" w:styleId="Default">
    <w:name w:val="Default"/>
    <w:rsid w:val="004E5D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лавие 1 Знак"/>
    <w:basedOn w:val="a0"/>
    <w:link w:val="1"/>
    <w:uiPriority w:val="9"/>
    <w:rsid w:val="000157D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b">
    <w:name w:val="Body Text"/>
    <w:basedOn w:val="a"/>
    <w:link w:val="ac"/>
    <w:uiPriority w:val="99"/>
    <w:semiHidden/>
    <w:unhideWhenUsed/>
    <w:rsid w:val="00A304BB"/>
    <w:pPr>
      <w:spacing w:after="120"/>
    </w:pPr>
  </w:style>
  <w:style w:type="character" w:customStyle="1" w:styleId="ac">
    <w:name w:val="Основен текст Знак"/>
    <w:basedOn w:val="a0"/>
    <w:link w:val="ab"/>
    <w:uiPriority w:val="99"/>
    <w:semiHidden/>
    <w:rsid w:val="00A304BB"/>
  </w:style>
  <w:style w:type="character" w:styleId="ad">
    <w:name w:val="Hyperlink"/>
    <w:basedOn w:val="a0"/>
    <w:uiPriority w:val="99"/>
    <w:unhideWhenUsed/>
    <w:rsid w:val="004F01E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9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funds.b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eufunds.bg/programen-period-2014-2020/natzionalna-komunikatzionna-strategiy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ufunds.b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eufunds.bg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7C675-6921-4AA0-9E2F-90045DB6B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14</Pages>
  <Words>4631</Words>
  <Characters>26397</Characters>
  <Application>Microsoft Office Word</Application>
  <DocSecurity>0</DocSecurity>
  <Lines>219</Lines>
  <Paragraphs>61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EcoLogistikA</dc:creator>
  <cp:keywords/>
  <dc:description/>
  <cp:lastModifiedBy>PC Madan</cp:lastModifiedBy>
  <cp:revision>17</cp:revision>
  <cp:lastPrinted>2018-03-12T12:50:00Z</cp:lastPrinted>
  <dcterms:created xsi:type="dcterms:W3CDTF">2018-02-07T11:32:00Z</dcterms:created>
  <dcterms:modified xsi:type="dcterms:W3CDTF">2018-03-12T13:43:00Z</dcterms:modified>
</cp:coreProperties>
</file>